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0" w:lineRule="auto"/>
        <w:rPr/>
      </w:pPr>
      <w:r w:rsidDel="00000000" w:rsidR="00000000" w:rsidRPr="00000000">
        <w:rPr>
          <w:rtl w:val="0"/>
        </w:rPr>
      </w:r>
    </w:p>
    <w:p w:rsidR="00000000" w:rsidDel="00000000" w:rsidP="00000000" w:rsidRDefault="00000000" w:rsidRPr="00000000" w14:paraId="00000002">
      <w:pPr>
        <w:pBdr>
          <w:bottom w:color="009463" w:space="2" w:sz="6" w:val="single"/>
        </w:pBdr>
        <w:spacing w:after="0" w:lineRule="auto"/>
        <w:rPr>
          <w:color w:val="009463"/>
        </w:rPr>
      </w:pPr>
      <w:r w:rsidDel="00000000" w:rsidR="00000000" w:rsidRPr="00000000">
        <w:rPr>
          <w:rFonts w:ascii="Arial" w:cs="Arial" w:eastAsia="Arial" w:hAnsi="Arial"/>
          <w:b w:val="1"/>
          <w:bCs w:val="1"/>
          <w:color w:val="009463"/>
          <w:sz w:val="56"/>
          <w:szCs w:val="56"/>
          <w:rtl w:val="0"/>
        </w:rPr>
        <w:t xml:space="preserve">Cash Management Policy</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tl w:val="0"/>
        </w:rPr>
      </w:r>
    </w:p>
    <w:p w:rsidR="00000000" w:rsidDel="00000000" w:rsidP="00000000" w:rsidRDefault="00000000" w:rsidRPr="00000000" w14:paraId="00000004">
      <w:pPr>
        <w:spacing w:after="60" w:lineRule="auto"/>
        <w:rPr>
          <w:color w:val="009463"/>
        </w:rPr>
      </w:pPr>
      <w:r w:rsidDel="00000000" w:rsidR="00000000" w:rsidRPr="00000000">
        <w:rPr>
          <w:rFonts w:ascii="Arial" w:cs="Arial" w:eastAsia="Arial" w:hAnsi="Arial"/>
          <w:color w:val="009463"/>
          <w:sz w:val="30"/>
          <w:szCs w:val="30"/>
          <w:rtl w:val="0"/>
        </w:rPr>
        <w:t xml:space="preserve">Template for Scaleup Businesses</w:t>
      </w: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Fonts w:ascii="Arial" w:cs="Arial" w:eastAsia="Arial" w:hAnsi="Arial"/>
          <w:color w:val="5d6d7e"/>
          <w:sz w:val="22"/>
          <w:szCs w:val="22"/>
          <w:rtl w:val="0"/>
        </w:rPr>
        <w:t xml:space="preserve">£20–100M turnover  |  £1–10M cash balances</w:t>
      </w:r>
      <w:r w:rsidDel="00000000" w:rsidR="00000000" w:rsidRPr="00000000">
        <w:rPr>
          <w:rtl w:val="0"/>
        </w:rPr>
      </w:r>
    </w:p>
    <w:p w:rsidR="00000000" w:rsidDel="00000000" w:rsidP="00000000" w:rsidRDefault="00000000" w:rsidRPr="00000000" w14:paraId="00000006">
      <w:pPr>
        <w:spacing w:after="600" w:lineRule="auto"/>
        <w:rPr/>
      </w:pPr>
      <w:r w:rsidDel="00000000" w:rsidR="00000000" w:rsidRPr="00000000">
        <w:rPr>
          <w:rtl w:val="0"/>
        </w:rPr>
      </w:r>
    </w:p>
    <w:tbl>
      <w:tblPr>
        <w:tblStyle w:val="Table1"/>
        <w:tblW w:w="5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3000"/>
        <w:tblGridChange w:id="0">
          <w:tblGrid>
            <w:gridCol w:w="2000"/>
            <w:gridCol w:w="3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5d6d7e"/>
                <w:sz w:val="20"/>
                <w:szCs w:val="20"/>
                <w:rtl w:val="0"/>
              </w:rPr>
              <w:t xml:space="preserve">Company Name:</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8">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9">
            <w:pPr>
              <w:rPr/>
            </w:pPr>
            <w:r w:rsidDel="00000000" w:rsidR="00000000" w:rsidRPr="00000000">
              <w:rPr>
                <w:rFonts w:ascii="Arial" w:cs="Arial" w:eastAsia="Arial" w:hAnsi="Arial"/>
                <w:b w:val="1"/>
                <w:bCs w:val="1"/>
                <w:color w:val="5d6d7e"/>
                <w:sz w:val="20"/>
                <w:szCs w:val="20"/>
                <w:rtl w:val="0"/>
              </w:rPr>
              <w:t xml:space="preserve">Effective Date:</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A">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color w:val="5d6d7e"/>
                <w:sz w:val="20"/>
                <w:szCs w:val="20"/>
                <w:rtl w:val="0"/>
              </w:rPr>
              <w:t xml:space="preserve">Approved By:</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C">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D">
            <w:pPr>
              <w:rPr/>
            </w:pPr>
            <w:r w:rsidDel="00000000" w:rsidR="00000000" w:rsidRPr="00000000">
              <w:rPr>
                <w:rFonts w:ascii="Arial" w:cs="Arial" w:eastAsia="Arial" w:hAnsi="Arial"/>
                <w:b w:val="1"/>
                <w:bCs w:val="1"/>
                <w:color w:val="5d6d7e"/>
                <w:sz w:val="20"/>
                <w:szCs w:val="20"/>
                <w:rtl w:val="0"/>
              </w:rPr>
              <w:t xml:space="preserve">Next Review:</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E">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bl>
    <w:p w:rsidR="00000000" w:rsidDel="00000000" w:rsidP="00000000" w:rsidRDefault="00000000" w:rsidRPr="00000000" w14:paraId="0000000F">
      <w:pPr>
        <w:spacing w:after="1400" w:lineRule="auto"/>
        <w:rPr/>
      </w:pPr>
      <w:r w:rsidDel="00000000" w:rsidR="00000000" w:rsidRPr="00000000">
        <w:rPr>
          <w:rtl w:val="0"/>
        </w:rPr>
      </w:r>
    </w:p>
    <w:p w:rsidR="00000000" w:rsidDel="00000000" w:rsidP="00000000" w:rsidRDefault="00000000" w:rsidRPr="00000000" w14:paraId="00000010">
      <w:pPr>
        <w:spacing w:after="30" w:lineRule="auto"/>
        <w:rPr/>
      </w:pPr>
      <w:r w:rsidDel="00000000" w:rsidR="00000000" w:rsidRPr="00000000">
        <w:rPr>
          <w:rFonts w:ascii="Arial" w:cs="Arial" w:eastAsia="Arial" w:hAnsi="Arial"/>
          <w:color w:val="5d6d7e"/>
          <w:sz w:val="17"/>
          <w:szCs w:val="17"/>
          <w:rtl w:val="0"/>
        </w:rPr>
        <w:t xml:space="preserve">Prepared with guidance from</w:t>
      </w:r>
      <w:r w:rsidDel="00000000" w:rsidR="00000000" w:rsidRPr="00000000">
        <w:rPr>
          <w:rtl w:val="0"/>
        </w:rPr>
      </w:r>
    </w:p>
    <w:p w:rsidR="00000000" w:rsidDel="00000000" w:rsidP="00000000" w:rsidRDefault="00000000" w:rsidRPr="00000000" w14:paraId="00000011">
      <w:pPr>
        <w:spacing w:after="30" w:lineRule="auto"/>
        <w:rPr>
          <w:color w:val="009463"/>
        </w:rPr>
      </w:pPr>
      <w:r w:rsidDel="00000000" w:rsidR="00000000" w:rsidRPr="00000000">
        <w:rPr>
          <w:rFonts w:ascii="Arial" w:cs="Arial" w:eastAsia="Arial" w:hAnsi="Arial"/>
          <w:b w:val="1"/>
          <w:bCs w:val="1"/>
          <w:color w:val="009463"/>
          <w:sz w:val="20"/>
          <w:szCs w:val="20"/>
          <w:rtl w:val="0"/>
        </w:rPr>
        <w:t xml:space="preserve">HedgeFlows Treasury Advisory</w:t>
      </w:r>
      <w:r w:rsidDel="00000000" w:rsidR="00000000" w:rsidRPr="00000000">
        <w:rPr>
          <w:rtl w:val="0"/>
        </w:rPr>
      </w:r>
    </w:p>
    <w:p w:rsidR="00000000" w:rsidDel="00000000" w:rsidP="00000000" w:rsidRDefault="00000000" w:rsidRPr="00000000" w14:paraId="00000012">
      <w:pPr>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Fonts w:ascii="Arial" w:cs="Arial" w:eastAsia="Arial" w:hAnsi="Arial"/>
          <w:color w:val="5d6d7e"/>
          <w:sz w:val="17"/>
          <w:szCs w:val="17"/>
          <w:rtl w:val="0"/>
        </w:rPr>
        <w:t xml:space="preserve">www.hedgeflows.com</w:t>
      </w:r>
      <w:r w:rsidDel="00000000" w:rsidR="00000000" w:rsidRPr="00000000">
        <w:rPr>
          <w:rtl w:val="0"/>
        </w:rPr>
      </w:r>
    </w:p>
    <w:p w:rsidR="00000000" w:rsidDel="00000000" w:rsidP="00000000" w:rsidRDefault="00000000" w:rsidRPr="00000000" w14:paraId="00000013">
      <w:pPr>
        <w:pStyle w:val="Heading1"/>
        <w:spacing w:after="80" w:before="240" w:lineRule="auto"/>
        <w:rPr>
          <w:color w:val="009463"/>
        </w:rPr>
      </w:pPr>
      <w:r w:rsidDel="00000000" w:rsidR="00000000" w:rsidRPr="00000000">
        <w:rPr>
          <w:rFonts w:ascii="Arial" w:cs="Arial" w:eastAsia="Arial" w:hAnsi="Arial"/>
          <w:b w:val="1"/>
          <w:bCs w:val="1"/>
          <w:color w:val="009463"/>
          <w:sz w:val="25"/>
          <w:szCs w:val="25"/>
          <w:rtl w:val="0"/>
        </w:rPr>
        <w:t xml:space="preserve">1. Purpose, Scope and Objectives</w:t>
      </w:r>
      <w:r w:rsidDel="00000000" w:rsidR="00000000" w:rsidRPr="00000000">
        <w:rPr>
          <w:rtl w:val="0"/>
        </w:rPr>
      </w:r>
    </w:p>
    <w:p w:rsidR="00000000" w:rsidDel="00000000" w:rsidP="00000000" w:rsidRDefault="00000000" w:rsidRPr="00000000" w14:paraId="00000014">
      <w:pPr>
        <w:spacing w:after="70" w:line="260" w:lineRule="auto"/>
        <w:rPr/>
      </w:pPr>
      <w:r w:rsidDel="00000000" w:rsidR="00000000" w:rsidRPr="00000000">
        <w:rPr>
          <w:rFonts w:ascii="Arial" w:cs="Arial" w:eastAsia="Arial" w:hAnsi="Arial"/>
          <w:color w:val="1a1a2e"/>
          <w:sz w:val="19"/>
          <w:szCs w:val="19"/>
          <w:rtl w:val="0"/>
        </w:rPr>
        <w:t xml:space="preserve">This policy sets out the principles and limits governing how </w:t>
      </w:r>
      <w:r w:rsidDel="00000000" w:rsidR="00000000" w:rsidRPr="00000000">
        <w:rPr>
          <w:rFonts w:ascii="Arial" w:cs="Arial" w:eastAsia="Arial" w:hAnsi="Arial"/>
          <w:color w:val="1a1a2e"/>
          <w:sz w:val="19"/>
          <w:szCs w:val="19"/>
          <w:highlight w:val="yellow"/>
          <w:rtl w:val="0"/>
        </w:rPr>
        <w:t xml:space="preserve">[Company Name]</w:t>
      </w:r>
      <w:r w:rsidDel="00000000" w:rsidR="00000000" w:rsidRPr="00000000">
        <w:rPr>
          <w:rFonts w:ascii="Arial" w:cs="Arial" w:eastAsia="Arial" w:hAnsi="Arial"/>
          <w:color w:val="1a1a2e"/>
          <w:sz w:val="19"/>
          <w:szCs w:val="19"/>
          <w:rtl w:val="0"/>
        </w:rPr>
        <w:t xml:space="preserve"> manages its cash, bank deposits, and short-term liquid investments. It is designed to be proportionate to a growing business without a dedicated treasury function, while establishing the controls expected by boards, investors, and lenders.</w:t>
      </w:r>
      <w:r w:rsidDel="00000000" w:rsidR="00000000" w:rsidRPr="00000000">
        <w:rPr>
          <w:rtl w:val="0"/>
        </w:rPr>
      </w:r>
    </w:p>
    <w:p w:rsidR="00000000" w:rsidDel="00000000" w:rsidP="00000000" w:rsidRDefault="00000000" w:rsidRPr="00000000" w14:paraId="00000015">
      <w:pPr>
        <w:spacing w:after="20" w:lineRule="auto"/>
        <w:rPr/>
      </w:pPr>
      <w:r w:rsidDel="00000000" w:rsidR="00000000" w:rsidRPr="00000000">
        <w:rPr>
          <w:rtl w:val="0"/>
        </w:rPr>
      </w:r>
    </w:p>
    <w:p w:rsidR="00000000" w:rsidDel="00000000" w:rsidP="00000000" w:rsidRDefault="00000000" w:rsidRPr="00000000" w14:paraId="00000016">
      <w:pPr>
        <w:spacing w:after="70" w:line="260" w:lineRule="auto"/>
        <w:rPr/>
      </w:pPr>
      <w:r w:rsidDel="00000000" w:rsidR="00000000" w:rsidRPr="00000000">
        <w:rPr>
          <w:rFonts w:ascii="Arial" w:cs="Arial" w:eastAsia="Arial" w:hAnsi="Arial"/>
          <w:b w:val="1"/>
          <w:bCs w:val="1"/>
          <w:color w:val="1a1a2e"/>
          <w:sz w:val="19"/>
          <w:szCs w:val="19"/>
          <w:rtl w:val="0"/>
        </w:rPr>
        <w:t xml:space="preserve">Objectives </w:t>
      </w:r>
      <w:r w:rsidDel="00000000" w:rsidR="00000000" w:rsidRPr="00000000">
        <w:rPr>
          <w:rFonts w:ascii="Arial" w:cs="Arial" w:eastAsia="Arial" w:hAnsi="Arial"/>
          <w:color w:val="1a1a2e"/>
          <w:sz w:val="19"/>
          <w:szCs w:val="19"/>
          <w:rtl w:val="0"/>
        </w:rPr>
        <w:t xml:space="preserve">(in priority order): (i) preserve the nominal value of all cash and deposits; (ii) maintain sufficient liquidity to meet obligations as they fall due; (iii) diversify counterparty exposure to avoid single points of failure; (iv) generate a reasonable return on surplus cash consistent with the above objectives.</w:t>
      </w:r>
      <w:r w:rsidDel="00000000" w:rsidR="00000000" w:rsidRPr="00000000">
        <w:rPr>
          <w:rtl w:val="0"/>
        </w:rPr>
      </w:r>
    </w:p>
    <w:p w:rsidR="00000000" w:rsidDel="00000000" w:rsidP="00000000" w:rsidRDefault="00000000" w:rsidRPr="00000000" w14:paraId="00000017">
      <w:pPr>
        <w:spacing w:after="20" w:lineRule="auto"/>
        <w:rPr/>
      </w:pPr>
      <w:r w:rsidDel="00000000" w:rsidR="00000000" w:rsidRPr="00000000">
        <w:rPr>
          <w:rtl w:val="0"/>
        </w:rPr>
      </w:r>
    </w:p>
    <w:p w:rsidR="00000000" w:rsidDel="00000000" w:rsidP="00000000" w:rsidRDefault="00000000" w:rsidRPr="00000000" w14:paraId="00000018">
      <w:pPr>
        <w:spacing w:after="70" w:line="260" w:lineRule="auto"/>
        <w:rPr/>
      </w:pPr>
      <w:r w:rsidDel="00000000" w:rsidR="00000000" w:rsidRPr="00000000">
        <w:rPr>
          <w:rFonts w:ascii="Arial" w:cs="Arial" w:eastAsia="Arial" w:hAnsi="Arial"/>
          <w:b w:val="1"/>
          <w:bCs w:val="1"/>
          <w:color w:val="1a1a2e"/>
          <w:sz w:val="19"/>
          <w:szCs w:val="19"/>
          <w:rtl w:val="0"/>
        </w:rPr>
        <w:t xml:space="preserve">Scope. </w:t>
      </w:r>
      <w:r w:rsidDel="00000000" w:rsidR="00000000" w:rsidRPr="00000000">
        <w:rPr>
          <w:rFonts w:ascii="Arial" w:cs="Arial" w:eastAsia="Arial" w:hAnsi="Arial"/>
          <w:color w:val="1a1a2e"/>
          <w:sz w:val="19"/>
          <w:szCs w:val="19"/>
          <w:rtl w:val="0"/>
        </w:rPr>
        <w:t xml:space="preserve">This policy applies to all cash, bank deposits, money market fund holdings, and short-term investments across all entities, currencies, and platforms, including payment service providers (e.g. Stripe, PayPal, Wise, Shopify Payments). It should be read alongside the company’s FX Risk Management Policy, which governs currency exposure and hedging.</w:t>
      </w:r>
      <w:r w:rsidDel="00000000" w:rsidR="00000000" w:rsidRPr="00000000">
        <w:rPr>
          <w:rtl w:val="0"/>
        </w:rPr>
      </w:r>
    </w:p>
    <w:p w:rsidR="00000000" w:rsidDel="00000000" w:rsidP="00000000" w:rsidRDefault="00000000" w:rsidRPr="00000000" w14:paraId="00000019">
      <w:pPr>
        <w:spacing w:after="20" w:lineRule="auto"/>
        <w:rPr/>
      </w:pPr>
      <w:r w:rsidDel="00000000" w:rsidR="00000000" w:rsidRPr="00000000">
        <w:rPr>
          <w:rtl w:val="0"/>
        </w:rPr>
      </w:r>
    </w:p>
    <w:p w:rsidR="00000000" w:rsidDel="00000000" w:rsidP="00000000" w:rsidRDefault="00000000" w:rsidRPr="00000000" w14:paraId="0000001A">
      <w:pPr>
        <w:spacing w:after="70" w:line="260" w:lineRule="auto"/>
        <w:rPr/>
      </w:pPr>
      <w:r w:rsidDel="00000000" w:rsidR="00000000" w:rsidRPr="00000000">
        <w:rPr>
          <w:rFonts w:ascii="Arial" w:cs="Arial" w:eastAsia="Arial" w:hAnsi="Arial"/>
          <w:b w:val="1"/>
          <w:bCs w:val="1"/>
          <w:color w:val="1a1a2e"/>
          <w:sz w:val="19"/>
          <w:szCs w:val="19"/>
          <w:rtl w:val="0"/>
        </w:rPr>
        <w:t xml:space="preserve">Ownership and review. </w:t>
      </w:r>
      <w:r w:rsidDel="00000000" w:rsidR="00000000" w:rsidRPr="00000000">
        <w:rPr>
          <w:rFonts w:ascii="Arial" w:cs="Arial" w:eastAsia="Arial" w:hAnsi="Arial"/>
          <w:color w:val="1a1a2e"/>
          <w:sz w:val="19"/>
          <w:szCs w:val="19"/>
          <w:rtl w:val="0"/>
        </w:rPr>
        <w:t xml:space="preserve">The CFO is the policy owner. The policy shall be reviewed and re-approved by the board annually, or sooner if triggered by: a material change in cash balances (&gt;25%), a new banking relationship, a change in business model or funding, or a significant external event affecting counterparty risk.</w:t>
      </w:r>
      <w:r w:rsidDel="00000000" w:rsidR="00000000" w:rsidRPr="00000000">
        <w:rPr>
          <w:rtl w:val="0"/>
        </w:rPr>
      </w:r>
    </w:p>
    <w:p w:rsidR="00000000" w:rsidDel="00000000" w:rsidP="00000000" w:rsidRDefault="00000000" w:rsidRPr="00000000" w14:paraId="0000001B">
      <w:pPr>
        <w:pStyle w:val="Heading1"/>
        <w:spacing w:after="80" w:before="240" w:lineRule="auto"/>
        <w:rPr>
          <w:color w:val="009463"/>
        </w:rPr>
      </w:pPr>
      <w:r w:rsidDel="00000000" w:rsidR="00000000" w:rsidRPr="00000000">
        <w:rPr>
          <w:rFonts w:ascii="Arial" w:cs="Arial" w:eastAsia="Arial" w:hAnsi="Arial"/>
          <w:b w:val="1"/>
          <w:bCs w:val="1"/>
          <w:color w:val="009463"/>
          <w:sz w:val="25"/>
          <w:szCs w:val="25"/>
          <w:rtl w:val="0"/>
        </w:rPr>
        <w:t xml:space="preserve">2. Cash Segmentation Framework</w:t>
      </w:r>
      <w:r w:rsidDel="00000000" w:rsidR="00000000" w:rsidRPr="00000000">
        <w:rPr>
          <w:rtl w:val="0"/>
        </w:rPr>
      </w:r>
    </w:p>
    <w:p w:rsidR="00000000" w:rsidDel="00000000" w:rsidP="00000000" w:rsidRDefault="00000000" w:rsidRPr="00000000" w14:paraId="0000001C">
      <w:pPr>
        <w:spacing w:after="70" w:line="260" w:lineRule="auto"/>
        <w:rPr/>
      </w:pPr>
      <w:r w:rsidDel="00000000" w:rsidR="00000000" w:rsidRPr="00000000">
        <w:rPr>
          <w:rFonts w:ascii="Arial" w:cs="Arial" w:eastAsia="Arial" w:hAnsi="Arial"/>
          <w:color w:val="1a1a2e"/>
          <w:sz w:val="19"/>
          <w:szCs w:val="19"/>
          <w:rtl w:val="0"/>
        </w:rPr>
        <w:t xml:space="preserve">All cash shall be categorised into segments based on when funds may be required, in line with the widely-adopted practice of matching asset liquidity to the time horizon of the underlying obligation. This determines where cash is held, which instruments are appropriate, and what yield can reasonably be targeted.</w:t>
      </w:r>
      <w:r w:rsidDel="00000000" w:rsidR="00000000" w:rsidRPr="00000000">
        <w:rPr>
          <w:rtl w:val="0"/>
        </w:rPr>
      </w:r>
    </w:p>
    <w:tbl>
      <w:tblPr>
        <w:tblStyle w:val="Table2"/>
        <w:tblW w:w="9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300"/>
        <w:gridCol w:w="2600"/>
        <w:gridCol w:w="2100"/>
        <w:gridCol w:w="1706"/>
        <w:tblGridChange w:id="0">
          <w:tblGrid>
            <w:gridCol w:w="1600"/>
            <w:gridCol w:w="1300"/>
            <w:gridCol w:w="2600"/>
            <w:gridCol w:w="2100"/>
            <w:gridCol w:w="1706"/>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1D">
            <w:pPr>
              <w:rPr/>
            </w:pPr>
            <w:r w:rsidDel="00000000" w:rsidR="00000000" w:rsidRPr="00000000">
              <w:rPr>
                <w:rFonts w:ascii="Arial" w:cs="Arial" w:eastAsia="Arial" w:hAnsi="Arial"/>
                <w:b w:val="1"/>
                <w:bCs w:val="1"/>
                <w:color w:val="ffffff"/>
                <w:sz w:val="17"/>
                <w:szCs w:val="17"/>
                <w:rtl w:val="0"/>
              </w:rPr>
              <w:t xml:space="preserve">Segment</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ffffff"/>
                <w:sz w:val="17"/>
                <w:szCs w:val="17"/>
                <w:rtl w:val="0"/>
              </w:rPr>
              <w:t xml:space="preserve">Horizon</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1F">
            <w:pPr>
              <w:rPr/>
            </w:pPr>
            <w:r w:rsidDel="00000000" w:rsidR="00000000" w:rsidRPr="00000000">
              <w:rPr>
                <w:rFonts w:ascii="Arial" w:cs="Arial" w:eastAsia="Arial" w:hAnsi="Arial"/>
                <w:b w:val="1"/>
                <w:bCs w:val="1"/>
                <w:color w:val="ffffff"/>
                <w:sz w:val="17"/>
                <w:szCs w:val="17"/>
                <w:rtl w:val="0"/>
              </w:rPr>
              <w:t xml:space="preserve">Permitted Instruments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ffffff"/>
                <w:sz w:val="17"/>
                <w:szCs w:val="17"/>
                <w:rtl w:val="0"/>
              </w:rPr>
              <w:t xml:space="preserve">Target Size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ffffff"/>
                <w:sz w:val="17"/>
                <w:szCs w:val="17"/>
                <w:rtl w:val="0"/>
              </w:rPr>
              <w:t xml:space="preserve">Indicative Yield</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2">
            <w:pPr>
              <w:rPr/>
            </w:pPr>
            <w:r w:rsidDel="00000000" w:rsidR="00000000" w:rsidRPr="00000000">
              <w:rPr>
                <w:rFonts w:ascii="Arial" w:cs="Arial" w:eastAsia="Arial" w:hAnsi="Arial"/>
                <w:b w:val="1"/>
                <w:bCs w:val="1"/>
                <w:color w:val="1a1a2e"/>
                <w:sz w:val="17"/>
                <w:szCs w:val="17"/>
                <w:rtl w:val="0"/>
              </w:rPr>
              <w:t xml:space="preserve">Operating</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3">
            <w:pPr>
              <w:rPr/>
            </w:pPr>
            <w:r w:rsidDel="00000000" w:rsidR="00000000" w:rsidRPr="00000000">
              <w:rPr>
                <w:rFonts w:ascii="Arial" w:cs="Arial" w:eastAsia="Arial" w:hAnsi="Arial"/>
                <w:color w:val="1a1a2e"/>
                <w:sz w:val="17"/>
                <w:szCs w:val="17"/>
                <w:rtl w:val="0"/>
              </w:rPr>
              <w:t xml:space="preserve">0–30 days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4">
            <w:pPr>
              <w:rPr/>
            </w:pPr>
            <w:r w:rsidDel="00000000" w:rsidR="00000000" w:rsidRPr="00000000">
              <w:rPr>
                <w:rFonts w:ascii="Arial" w:cs="Arial" w:eastAsia="Arial" w:hAnsi="Arial"/>
                <w:color w:val="1a1a2e"/>
                <w:sz w:val="17"/>
                <w:szCs w:val="17"/>
                <w:rtl w:val="0"/>
              </w:rPr>
              <w:t xml:space="preserve">Current accounts, overnight deposits, sho</w:t>
            </w:r>
            <w:r w:rsidDel="00000000" w:rsidR="00000000" w:rsidRPr="00000000">
              <w:rPr>
                <w:color w:val="1a1a2e"/>
                <w:sz w:val="17"/>
                <w:szCs w:val="17"/>
                <w:rtl w:val="0"/>
              </w:rPr>
              <w:t xml:space="preserve">rt dated T-bills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rFonts w:ascii="Arial" w:cs="Arial" w:eastAsia="Arial" w:hAnsi="Arial"/>
                <w:color w:val="1a1a2e"/>
                <w:sz w:val="17"/>
                <w:szCs w:val="17"/>
                <w:rtl w:val="0"/>
              </w:rPr>
              <w:t xml:space="preserve">1–2 months opex</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6">
            <w:pPr>
              <w:rPr>
                <w:highlight w:val="yellow"/>
              </w:rPr>
            </w:pPr>
            <w:r w:rsidDel="00000000" w:rsidR="00000000" w:rsidRPr="00000000">
              <w:rPr>
                <w:rFonts w:ascii="Arial" w:cs="Arial" w:eastAsia="Arial" w:hAnsi="Arial"/>
                <w:color w:val="1a1a2e"/>
                <w:sz w:val="17"/>
                <w:szCs w:val="17"/>
                <w:highlight w:val="yellow"/>
                <w:rtl w:val="0"/>
              </w:rPr>
              <w:t xml:space="preserve">[    ]%</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color w:val="1a1a2e"/>
                <w:sz w:val="17"/>
                <w:szCs w:val="17"/>
                <w:rtl w:val="0"/>
              </w:rPr>
              <w:t xml:space="preserve">Working Capital</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rFonts w:ascii="Arial" w:cs="Arial" w:eastAsia="Arial" w:hAnsi="Arial"/>
                <w:color w:val="1a1a2e"/>
                <w:sz w:val="17"/>
                <w:szCs w:val="17"/>
                <w:rtl w:val="0"/>
              </w:rPr>
              <w:t xml:space="preserve">1–6 months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9">
            <w:pPr>
              <w:rPr/>
            </w:pPr>
            <w:r w:rsidDel="00000000" w:rsidR="00000000" w:rsidRPr="00000000">
              <w:rPr>
                <w:rFonts w:ascii="Arial" w:cs="Arial" w:eastAsia="Arial" w:hAnsi="Arial"/>
                <w:color w:val="1a1a2e"/>
                <w:sz w:val="17"/>
                <w:szCs w:val="17"/>
                <w:rtl w:val="0"/>
              </w:rPr>
              <w:t xml:space="preserve">Notice accounts, MMFs (AAA-rated), T-bills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A">
            <w:pPr>
              <w:rPr/>
            </w:pPr>
            <w:r w:rsidDel="00000000" w:rsidR="00000000" w:rsidRPr="00000000">
              <w:rPr>
                <w:rFonts w:ascii="Arial" w:cs="Arial" w:eastAsia="Arial" w:hAnsi="Arial"/>
                <w:color w:val="1a1a2e"/>
                <w:sz w:val="17"/>
                <w:szCs w:val="17"/>
                <w:rtl w:val="0"/>
              </w:rPr>
              <w:t xml:space="preserve">3–6 months opex</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B">
            <w:pPr>
              <w:rPr>
                <w:highlight w:val="yellow"/>
              </w:rPr>
            </w:pPr>
            <w:r w:rsidDel="00000000" w:rsidR="00000000" w:rsidRPr="00000000">
              <w:rPr>
                <w:rFonts w:ascii="Arial" w:cs="Arial" w:eastAsia="Arial" w:hAnsi="Arial"/>
                <w:color w:val="1a1a2e"/>
                <w:sz w:val="17"/>
                <w:szCs w:val="17"/>
                <w:highlight w:val="yellow"/>
                <w:rtl w:val="0"/>
              </w:rPr>
              <w:t xml:space="preserve">[    ]%</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C">
            <w:pPr>
              <w:rPr/>
            </w:pPr>
            <w:r w:rsidDel="00000000" w:rsidR="00000000" w:rsidRPr="00000000">
              <w:rPr>
                <w:rFonts w:ascii="Arial" w:cs="Arial" w:eastAsia="Arial" w:hAnsi="Arial"/>
                <w:b w:val="1"/>
                <w:bCs w:val="1"/>
                <w:color w:val="1a1a2e"/>
                <w:sz w:val="17"/>
                <w:szCs w:val="17"/>
                <w:rtl w:val="0"/>
              </w:rPr>
              <w:t xml:space="preserve">Strategic Reserve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D">
            <w:pPr>
              <w:rPr/>
            </w:pPr>
            <w:r w:rsidDel="00000000" w:rsidR="00000000" w:rsidRPr="00000000">
              <w:rPr>
                <w:rFonts w:ascii="Arial" w:cs="Arial" w:eastAsia="Arial" w:hAnsi="Arial"/>
                <w:color w:val="1a1a2e"/>
                <w:sz w:val="17"/>
                <w:szCs w:val="17"/>
                <w:rtl w:val="0"/>
              </w:rPr>
              <w:t xml:space="preserve">6–12 months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E">
            <w:pPr>
              <w:rPr/>
            </w:pPr>
            <w:r w:rsidDel="00000000" w:rsidR="00000000" w:rsidRPr="00000000">
              <w:rPr>
                <w:rFonts w:ascii="Arial" w:cs="Arial" w:eastAsia="Arial" w:hAnsi="Arial"/>
                <w:color w:val="1a1a2e"/>
                <w:sz w:val="17"/>
                <w:szCs w:val="17"/>
                <w:rtl w:val="0"/>
              </w:rPr>
              <w:t xml:space="preserve">Term deposits, T-bills, govt MMFs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F">
            <w:pPr>
              <w:rPr/>
            </w:pPr>
            <w:r w:rsidDel="00000000" w:rsidR="00000000" w:rsidRPr="00000000">
              <w:rPr>
                <w:rFonts w:ascii="Arial" w:cs="Arial" w:eastAsia="Arial" w:hAnsi="Arial"/>
                <w:color w:val="1a1a2e"/>
                <w:sz w:val="17"/>
                <w:szCs w:val="17"/>
                <w:rtl w:val="0"/>
              </w:rPr>
              <w:t xml:space="preserve">Remaining surplus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30">
            <w:pPr>
              <w:rPr>
                <w:highlight w:val="yellow"/>
              </w:rPr>
            </w:pPr>
            <w:r w:rsidDel="00000000" w:rsidR="00000000" w:rsidRPr="00000000">
              <w:rPr>
                <w:rFonts w:ascii="Arial" w:cs="Arial" w:eastAsia="Arial" w:hAnsi="Arial"/>
                <w:color w:val="1a1a2e"/>
                <w:sz w:val="17"/>
                <w:szCs w:val="17"/>
                <w:highlight w:val="yellow"/>
                <w:rtl w:val="0"/>
              </w:rPr>
              <w:t xml:space="preserve">[    ]%</w:t>
            </w:r>
            <w:r w:rsidDel="00000000" w:rsidR="00000000" w:rsidRPr="00000000">
              <w:rPr>
                <w:rtl w:val="0"/>
              </w:rPr>
            </w:r>
          </w:p>
        </w:tc>
      </w:tr>
    </w:tbl>
    <w:p w:rsidR="00000000" w:rsidDel="00000000" w:rsidP="00000000" w:rsidRDefault="00000000" w:rsidRPr="00000000" w14:paraId="00000031">
      <w:pPr>
        <w:spacing w:after="30" w:lineRule="auto"/>
        <w:rPr/>
      </w:pPr>
      <w:r w:rsidDel="00000000" w:rsidR="00000000" w:rsidRPr="00000000">
        <w:rPr>
          <w:rtl w:val="0"/>
        </w:rPr>
      </w:r>
    </w:p>
    <w:p w:rsidR="00000000" w:rsidDel="00000000" w:rsidP="00000000" w:rsidRDefault="00000000" w:rsidRPr="00000000" w14:paraId="00000032">
      <w:pPr>
        <w:spacing w:after="70" w:line="260" w:lineRule="auto"/>
        <w:rPr/>
      </w:pPr>
      <w:r w:rsidDel="00000000" w:rsidR="00000000" w:rsidRPr="00000000">
        <w:rPr>
          <w:rFonts w:ascii="Arial" w:cs="Arial" w:eastAsia="Arial" w:hAnsi="Arial"/>
          <w:i w:val="1"/>
          <w:iCs w:val="1"/>
          <w:color w:val="5d6d7e"/>
          <w:sz w:val="17"/>
          <w:szCs w:val="17"/>
          <w:rtl w:val="0"/>
        </w:rPr>
        <w:t xml:space="preserve">[Guidance: Yield targets are deliberately left blank for you to complete. These will change with the interest rate environment. The principle of segmentation matters more than specific yield numbers.]</w:t>
      </w:r>
      <w:r w:rsidDel="00000000" w:rsidR="00000000" w:rsidRPr="00000000">
        <w:rPr>
          <w:rtl w:val="0"/>
        </w:rPr>
      </w:r>
    </w:p>
    <w:p w:rsidR="00000000" w:rsidDel="00000000" w:rsidP="00000000" w:rsidRDefault="00000000" w:rsidRPr="00000000" w14:paraId="00000033">
      <w:pPr>
        <w:spacing w:after="20" w:lineRule="auto"/>
        <w:rPr/>
      </w:pPr>
      <w:r w:rsidDel="00000000" w:rsidR="00000000" w:rsidRPr="00000000">
        <w:rPr>
          <w:rtl w:val="0"/>
        </w:rPr>
      </w:r>
    </w:p>
    <w:p w:rsidR="00000000" w:rsidDel="00000000" w:rsidP="00000000" w:rsidRDefault="00000000" w:rsidRPr="00000000" w14:paraId="00000034">
      <w:pPr>
        <w:spacing w:after="70" w:line="260" w:lineRule="auto"/>
        <w:rPr/>
      </w:pPr>
      <w:r w:rsidDel="00000000" w:rsidR="00000000" w:rsidRPr="00000000">
        <w:rPr>
          <w:rFonts w:ascii="Arial" w:cs="Arial" w:eastAsia="Arial" w:hAnsi="Arial"/>
          <w:color w:val="1a1a2e"/>
          <w:sz w:val="19"/>
          <w:szCs w:val="19"/>
          <w:rtl w:val="0"/>
        </w:rPr>
        <w:t xml:space="preserve">Surplus cash above operating requirements shall be swept regularly to working capital or strategic segments. Deposit maturities should be laddered (e.g. monthly or quarterly) to maintain regular access points. Bank aggregation platforms and money market fund portals can simplify access and diversification across multiple counterparties.</w:t>
      </w:r>
      <w:r w:rsidDel="00000000" w:rsidR="00000000" w:rsidRPr="00000000">
        <w:rPr>
          <w:rtl w:val="0"/>
        </w:rPr>
      </w:r>
    </w:p>
    <w:p w:rsidR="00000000" w:rsidDel="00000000" w:rsidP="00000000" w:rsidRDefault="00000000" w:rsidRPr="00000000" w14:paraId="00000035">
      <w:pPr>
        <w:spacing w:after="20" w:lineRule="auto"/>
        <w:rPr/>
      </w:pPr>
      <w:r w:rsidDel="00000000" w:rsidR="00000000" w:rsidRPr="00000000">
        <w:rPr>
          <w:rtl w:val="0"/>
        </w:rPr>
      </w:r>
    </w:p>
    <w:p w:rsidR="00000000" w:rsidDel="00000000" w:rsidP="00000000" w:rsidRDefault="00000000" w:rsidRPr="00000000" w14:paraId="00000036">
      <w:pPr>
        <w:spacing w:after="70" w:line="260" w:lineRule="auto"/>
        <w:rPr/>
      </w:pPr>
      <w:r w:rsidDel="00000000" w:rsidR="00000000" w:rsidRPr="00000000">
        <w:rPr>
          <w:rFonts w:ascii="Arial" w:cs="Arial" w:eastAsia="Arial" w:hAnsi="Arial"/>
          <w:b w:val="1"/>
          <w:bCs w:val="1"/>
          <w:color w:val="1a1a2e"/>
          <w:sz w:val="19"/>
          <w:szCs w:val="19"/>
          <w:rtl w:val="0"/>
        </w:rPr>
        <w:t xml:space="preserve">Payment service provider (PSP) balances. </w:t>
      </w:r>
      <w:r w:rsidDel="00000000" w:rsidR="00000000" w:rsidRPr="00000000">
        <w:rPr>
          <w:rFonts w:ascii="Arial" w:cs="Arial" w:eastAsia="Arial" w:hAnsi="Arial"/>
          <w:color w:val="1a1a2e"/>
          <w:sz w:val="19"/>
          <w:szCs w:val="19"/>
          <w:rtl w:val="0"/>
        </w:rPr>
        <w:t xml:space="preserve">PSPs such as Stripe, PayPal, and Shopify Payments are not banks and balances held there are not FSCS-protected. PSP balances shall be swept to company bank accounts on a regular cycle (at least weekly or upon reaching a defined threshold). Where PSPs offer FX conversion, rates shall be benchmarked annually against bank or specialist broker alternatives.</w:t>
      </w:r>
      <w:r w:rsidDel="00000000" w:rsidR="00000000" w:rsidRPr="00000000">
        <w:rPr>
          <w:rtl w:val="0"/>
        </w:rPr>
      </w:r>
    </w:p>
    <w:p w:rsidR="00000000" w:rsidDel="00000000" w:rsidP="00000000" w:rsidRDefault="00000000" w:rsidRPr="00000000" w14:paraId="00000037">
      <w:pPr>
        <w:pStyle w:val="Heading1"/>
        <w:spacing w:after="80" w:before="240" w:lineRule="auto"/>
        <w:rPr>
          <w:color w:val="009463"/>
        </w:rPr>
      </w:pPr>
      <w:r w:rsidDel="00000000" w:rsidR="00000000" w:rsidRPr="00000000">
        <w:rPr>
          <w:rFonts w:ascii="Arial" w:cs="Arial" w:eastAsia="Arial" w:hAnsi="Arial"/>
          <w:b w:val="1"/>
          <w:bCs w:val="1"/>
          <w:color w:val="009463"/>
          <w:sz w:val="25"/>
          <w:szCs w:val="25"/>
          <w:rtl w:val="0"/>
        </w:rPr>
        <w:t xml:space="preserve">3. Counterparty Risk and Concentration Limits</w:t>
      </w:r>
      <w:r w:rsidDel="00000000" w:rsidR="00000000" w:rsidRPr="00000000">
        <w:rPr>
          <w:rtl w:val="0"/>
        </w:rPr>
      </w:r>
    </w:p>
    <w:p w:rsidR="00000000" w:rsidDel="00000000" w:rsidP="00000000" w:rsidRDefault="00000000" w:rsidRPr="00000000" w14:paraId="00000038">
      <w:pPr>
        <w:spacing w:after="70" w:line="260" w:lineRule="auto"/>
        <w:rPr/>
      </w:pPr>
      <w:r w:rsidDel="00000000" w:rsidR="00000000" w:rsidRPr="00000000">
        <w:rPr>
          <w:rFonts w:ascii="Arial" w:cs="Arial" w:eastAsia="Arial" w:hAnsi="Arial"/>
          <w:color w:val="1a1a2e"/>
          <w:sz w:val="19"/>
          <w:szCs w:val="19"/>
          <w:rtl w:val="0"/>
        </w:rPr>
        <w:t xml:space="preserve">Under normal bank resolution, the UK’s FSCS covers £</w:t>
      </w:r>
      <w:r w:rsidDel="00000000" w:rsidR="00000000" w:rsidRPr="00000000">
        <w:rPr>
          <w:color w:val="1a1a2e"/>
          <w:rtl w:val="0"/>
        </w:rPr>
        <w:t xml:space="preserve">120</w:t>
      </w:r>
      <w:r w:rsidDel="00000000" w:rsidR="00000000" w:rsidRPr="00000000">
        <w:rPr>
          <w:rFonts w:ascii="Arial" w:cs="Arial" w:eastAsia="Arial" w:hAnsi="Arial"/>
          <w:color w:val="1a1a2e"/>
          <w:sz w:val="19"/>
          <w:szCs w:val="19"/>
          <w:rtl w:val="0"/>
        </w:rPr>
        <w:t xml:space="preserve">,000 per eligible depositor per institution; balances above this are unsecured creditor claims. The company also acknowledges ‘debanking’ risk — banking providers may close accounts with as little as 60–90 days notice, regardless of balance.</w:t>
      </w:r>
      <w:r w:rsidDel="00000000" w:rsidR="00000000" w:rsidRPr="00000000">
        <w:rPr>
          <w:rtl w:val="0"/>
        </w:rPr>
      </w:r>
    </w:p>
    <w:p w:rsidR="00000000" w:rsidDel="00000000" w:rsidP="00000000" w:rsidRDefault="00000000" w:rsidRPr="00000000" w14:paraId="00000039">
      <w:pPr>
        <w:pStyle w:val="Heading2"/>
        <w:spacing w:after="60" w:before="160" w:lineRule="auto"/>
        <w:rPr>
          <w:color w:val="009463"/>
        </w:rPr>
      </w:pPr>
      <w:r w:rsidDel="00000000" w:rsidR="00000000" w:rsidRPr="00000000">
        <w:rPr>
          <w:rFonts w:ascii="Arial" w:cs="Arial" w:eastAsia="Arial" w:hAnsi="Arial"/>
          <w:b w:val="1"/>
          <w:bCs w:val="1"/>
          <w:color w:val="009463"/>
          <w:sz w:val="21"/>
          <w:szCs w:val="21"/>
          <w:rtl w:val="0"/>
        </w:rPr>
        <w:t xml:space="preserve">3.1 Concentration Limits</w:t>
      </w:r>
      <w:r w:rsidDel="00000000" w:rsidR="00000000" w:rsidRPr="00000000">
        <w:rPr>
          <w:rtl w:val="0"/>
        </w:rPr>
      </w:r>
    </w:p>
    <w:tbl>
      <w:tblPr>
        <w:tblStyle w:val="Table3"/>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3103"/>
        <w:gridCol w:w="3103"/>
        <w:tblGridChange w:id="0">
          <w:tblGrid>
            <w:gridCol w:w="3200"/>
            <w:gridCol w:w="3103"/>
            <w:gridCol w:w="3103"/>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A">
            <w:pPr>
              <w:rPr/>
            </w:pPr>
            <w:r w:rsidDel="00000000" w:rsidR="00000000" w:rsidRPr="00000000">
              <w:rPr>
                <w:rFonts w:ascii="Arial" w:cs="Arial" w:eastAsia="Arial" w:hAnsi="Arial"/>
                <w:b w:val="1"/>
                <w:bCs w:val="1"/>
                <w:color w:val="ffffff"/>
                <w:sz w:val="17"/>
                <w:szCs w:val="17"/>
                <w:rtl w:val="0"/>
              </w:rPr>
              <w:t xml:space="preserve">Total Cash Balance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B">
            <w:pPr>
              <w:rPr/>
            </w:pPr>
            <w:r w:rsidDel="00000000" w:rsidR="00000000" w:rsidRPr="00000000">
              <w:rPr>
                <w:rFonts w:ascii="Arial" w:cs="Arial" w:eastAsia="Arial" w:hAnsi="Arial"/>
                <w:b w:val="1"/>
                <w:bCs w:val="1"/>
                <w:color w:val="ffffff"/>
                <w:sz w:val="17"/>
                <w:szCs w:val="17"/>
                <w:rtl w:val="0"/>
              </w:rPr>
              <w:t xml:space="preserve">Max. per Institution</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C">
            <w:pPr>
              <w:rPr/>
            </w:pPr>
            <w:r w:rsidDel="00000000" w:rsidR="00000000" w:rsidRPr="00000000">
              <w:rPr>
                <w:rFonts w:ascii="Arial" w:cs="Arial" w:eastAsia="Arial" w:hAnsi="Arial"/>
                <w:b w:val="1"/>
                <w:bCs w:val="1"/>
                <w:color w:val="ffffff"/>
                <w:sz w:val="17"/>
                <w:szCs w:val="17"/>
                <w:rtl w:val="0"/>
              </w:rPr>
              <w:t xml:space="preserve">Rationale</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tcMar>
              <w:top w:w="60.0" w:type="dxa"/>
              <w:left w:w="100.0" w:type="dxa"/>
              <w:bottom w:w="60.0" w:type="dxa"/>
              <w:right w:w="100.0" w:type="dxa"/>
            </w:tcMar>
          </w:tcPr>
          <w:p w:rsidR="00000000" w:rsidDel="00000000" w:rsidP="00000000" w:rsidRDefault="00000000" w:rsidRPr="00000000" w14:paraId="0000003D">
            <w:pPr>
              <w:rPr>
                <w:highlight w:val="yellow"/>
              </w:rPr>
            </w:pPr>
            <w:r w:rsidDel="00000000" w:rsidR="00000000" w:rsidRPr="00000000">
              <w:rPr>
                <w:rFonts w:ascii="Arial" w:cs="Arial" w:eastAsia="Arial" w:hAnsi="Arial"/>
                <w:color w:val="1a1a2e"/>
                <w:sz w:val="17"/>
                <w:szCs w:val="17"/>
                <w:highlight w:val="yellow"/>
                <w:rtl w:val="0"/>
              </w:rPr>
              <w:t xml:space="preserve">Up to £500k</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tcMar>
              <w:top w:w="60.0" w:type="dxa"/>
              <w:left w:w="100.0" w:type="dxa"/>
              <w:bottom w:w="60.0" w:type="dxa"/>
              <w:right w:w="100.0" w:type="dxa"/>
            </w:tcMar>
          </w:tcPr>
          <w:p w:rsidR="00000000" w:rsidDel="00000000" w:rsidP="00000000" w:rsidRDefault="00000000" w:rsidRPr="00000000" w14:paraId="0000003E">
            <w:pPr>
              <w:rPr/>
            </w:pPr>
            <w:r w:rsidDel="00000000" w:rsidR="00000000" w:rsidRPr="00000000">
              <w:rPr>
                <w:rFonts w:ascii="Arial" w:cs="Arial" w:eastAsia="Arial" w:hAnsi="Arial"/>
                <w:color w:val="1a1a2e"/>
                <w:sz w:val="17"/>
                <w:szCs w:val="17"/>
                <w:rtl w:val="0"/>
              </w:rPr>
              <w:t xml:space="preserve">60%</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3F">
            <w:pPr>
              <w:rPr/>
            </w:pPr>
            <w:r w:rsidDel="00000000" w:rsidR="00000000" w:rsidRPr="00000000">
              <w:rPr>
                <w:rFonts w:ascii="Arial" w:cs="Arial" w:eastAsia="Arial" w:hAnsi="Arial"/>
                <w:color w:val="1a1a2e"/>
                <w:sz w:val="17"/>
                <w:szCs w:val="17"/>
                <w:rtl w:val="0"/>
              </w:rPr>
              <w:t xml:space="preserve">FSCS covers meaningful share</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0">
            <w:pPr>
              <w:rPr>
                <w:highlight w:val="yellow"/>
              </w:rPr>
            </w:pPr>
            <w:r w:rsidDel="00000000" w:rsidR="00000000" w:rsidRPr="00000000">
              <w:rPr>
                <w:rFonts w:ascii="Arial" w:cs="Arial" w:eastAsia="Arial" w:hAnsi="Arial"/>
                <w:color w:val="1a1a2e"/>
                <w:sz w:val="17"/>
                <w:szCs w:val="17"/>
                <w:highlight w:val="yellow"/>
                <w:rtl w:val="0"/>
              </w:rPr>
              <w:t xml:space="preserve">£500k – £2M</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1">
            <w:pPr>
              <w:rPr/>
            </w:pPr>
            <w:r w:rsidDel="00000000" w:rsidR="00000000" w:rsidRPr="00000000">
              <w:rPr>
                <w:rFonts w:ascii="Arial" w:cs="Arial" w:eastAsia="Arial" w:hAnsi="Arial"/>
                <w:color w:val="1a1a2e"/>
                <w:sz w:val="17"/>
                <w:szCs w:val="17"/>
                <w:rtl w:val="0"/>
              </w:rPr>
              <w:t xml:space="preserve">40%</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2">
            <w:pPr>
              <w:rPr/>
            </w:pPr>
            <w:r w:rsidDel="00000000" w:rsidR="00000000" w:rsidRPr="00000000">
              <w:rPr>
                <w:rFonts w:ascii="Arial" w:cs="Arial" w:eastAsia="Arial" w:hAnsi="Arial"/>
                <w:color w:val="1a1a2e"/>
                <w:sz w:val="17"/>
                <w:szCs w:val="17"/>
                <w:rtl w:val="0"/>
              </w:rPr>
              <w:t xml:space="preserve">Diversification increasingly important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3">
            <w:pPr>
              <w:rPr>
                <w:highlight w:val="yellow"/>
              </w:rPr>
            </w:pPr>
            <w:r w:rsidDel="00000000" w:rsidR="00000000" w:rsidRPr="00000000">
              <w:rPr>
                <w:rFonts w:ascii="Arial" w:cs="Arial" w:eastAsia="Arial" w:hAnsi="Arial"/>
                <w:color w:val="1a1a2e"/>
                <w:sz w:val="17"/>
                <w:szCs w:val="17"/>
                <w:highlight w:val="yellow"/>
                <w:rtl w:val="0"/>
              </w:rPr>
              <w:t xml:space="preserve">£2M – £10M</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4">
            <w:pPr>
              <w:rPr/>
            </w:pPr>
            <w:r w:rsidDel="00000000" w:rsidR="00000000" w:rsidRPr="00000000">
              <w:rPr>
                <w:rFonts w:ascii="Arial" w:cs="Arial" w:eastAsia="Arial" w:hAnsi="Arial"/>
                <w:color w:val="1a1a2e"/>
                <w:sz w:val="17"/>
                <w:szCs w:val="17"/>
                <w:rtl w:val="0"/>
              </w:rPr>
              <w:t xml:space="preserve">30–40%</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5">
            <w:pPr>
              <w:rPr/>
            </w:pPr>
            <w:r w:rsidDel="00000000" w:rsidR="00000000" w:rsidRPr="00000000">
              <w:rPr>
                <w:rFonts w:ascii="Arial" w:cs="Arial" w:eastAsia="Arial" w:hAnsi="Arial"/>
                <w:color w:val="1a1a2e"/>
                <w:sz w:val="17"/>
                <w:szCs w:val="17"/>
                <w:rtl w:val="0"/>
              </w:rPr>
              <w:t xml:space="preserve">No single point of failure</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6">
            <w:pPr>
              <w:rPr>
                <w:highlight w:val="yellow"/>
              </w:rPr>
            </w:pPr>
            <w:r w:rsidDel="00000000" w:rsidR="00000000" w:rsidRPr="00000000">
              <w:rPr>
                <w:rFonts w:ascii="Arial" w:cs="Arial" w:eastAsia="Arial" w:hAnsi="Arial"/>
                <w:color w:val="1a1a2e"/>
                <w:sz w:val="17"/>
                <w:szCs w:val="17"/>
                <w:highlight w:val="yellow"/>
                <w:rtl w:val="0"/>
              </w:rPr>
              <w:t xml:space="preserve">Above £10M</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7">
            <w:pPr>
              <w:rPr/>
            </w:pPr>
            <w:r w:rsidDel="00000000" w:rsidR="00000000" w:rsidRPr="00000000">
              <w:rPr>
                <w:rFonts w:ascii="Arial" w:cs="Arial" w:eastAsia="Arial" w:hAnsi="Arial"/>
                <w:color w:val="1a1a2e"/>
                <w:sz w:val="17"/>
                <w:szCs w:val="17"/>
                <w:rtl w:val="0"/>
              </w:rPr>
              <w:t xml:space="preserve">25%</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rFonts w:ascii="Arial" w:cs="Arial" w:eastAsia="Arial" w:hAnsi="Arial"/>
                <w:color w:val="1a1a2e"/>
                <w:sz w:val="17"/>
                <w:szCs w:val="17"/>
                <w:rtl w:val="0"/>
              </w:rPr>
              <w:t xml:space="preserve">Broad diversification required</w:t>
            </w:r>
            <w:r w:rsidDel="00000000" w:rsidR="00000000" w:rsidRPr="00000000">
              <w:rPr>
                <w:rtl w:val="0"/>
              </w:rPr>
            </w:r>
          </w:p>
        </w:tc>
      </w:tr>
    </w:tbl>
    <w:p w:rsidR="00000000" w:rsidDel="00000000" w:rsidP="00000000" w:rsidRDefault="00000000" w:rsidRPr="00000000" w14:paraId="00000049">
      <w:pPr>
        <w:spacing w:after="30" w:lineRule="auto"/>
        <w:rPr/>
      </w:pPr>
      <w:r w:rsidDel="00000000" w:rsidR="00000000" w:rsidRPr="00000000">
        <w:rPr>
          <w:rtl w:val="0"/>
        </w:rPr>
      </w:r>
    </w:p>
    <w:p w:rsidR="00000000" w:rsidDel="00000000" w:rsidP="00000000" w:rsidRDefault="00000000" w:rsidRPr="00000000" w14:paraId="0000004A">
      <w:pPr>
        <w:spacing w:after="70" w:line="260" w:lineRule="auto"/>
        <w:rPr/>
      </w:pPr>
      <w:r w:rsidDel="00000000" w:rsidR="00000000" w:rsidRPr="00000000">
        <w:rPr>
          <w:rFonts w:ascii="Arial" w:cs="Arial" w:eastAsia="Arial" w:hAnsi="Arial"/>
          <w:i w:val="1"/>
          <w:iCs w:val="1"/>
          <w:color w:val="5d6d7e"/>
          <w:sz w:val="17"/>
          <w:szCs w:val="17"/>
          <w:rtl w:val="0"/>
        </w:rPr>
        <w:t xml:space="preserve">[Guidance: Limits above are illustrative starting points. Adjust for </w:t>
      </w:r>
      <w:r w:rsidDel="00000000" w:rsidR="00000000" w:rsidRPr="00000000">
        <w:rPr>
          <w:i w:val="1"/>
          <w:iCs w:val="1"/>
          <w:color w:val="5d6d7e"/>
          <w:sz w:val="17"/>
          <w:szCs w:val="17"/>
          <w:rtl w:val="0"/>
        </w:rPr>
        <w:t xml:space="preserve">holdings of T-bills. </w:t>
      </w:r>
      <w:r w:rsidDel="00000000" w:rsidR="00000000" w:rsidRPr="00000000">
        <w:rPr>
          <w:rFonts w:ascii="Arial" w:cs="Arial" w:eastAsia="Arial" w:hAnsi="Arial"/>
          <w:i w:val="1"/>
          <w:iCs w:val="1"/>
          <w:color w:val="5d6d7e"/>
          <w:sz w:val="17"/>
          <w:szCs w:val="17"/>
          <w:rtl w:val="0"/>
        </w:rPr>
        <w:t xml:space="preserve">Adjust based on your actual cash balance, number of available counterparties, and operational requirements. The principle is to avoid catastrophic loss from any single institution failure.]</w:t>
      </w:r>
      <w:r w:rsidDel="00000000" w:rsidR="00000000" w:rsidRPr="00000000">
        <w:rPr>
          <w:rtl w:val="0"/>
        </w:rPr>
      </w:r>
    </w:p>
    <w:p w:rsidR="00000000" w:rsidDel="00000000" w:rsidP="00000000" w:rsidRDefault="00000000" w:rsidRPr="00000000" w14:paraId="0000004B">
      <w:pPr>
        <w:pStyle w:val="Heading2"/>
        <w:spacing w:after="60" w:before="160" w:lineRule="auto"/>
        <w:rPr>
          <w:color w:val="009463"/>
        </w:rPr>
      </w:pPr>
      <w:r w:rsidDel="00000000" w:rsidR="00000000" w:rsidRPr="00000000">
        <w:rPr>
          <w:rFonts w:ascii="Arial" w:cs="Arial" w:eastAsia="Arial" w:hAnsi="Arial"/>
          <w:b w:val="1"/>
          <w:bCs w:val="1"/>
          <w:color w:val="009463"/>
          <w:sz w:val="21"/>
          <w:szCs w:val="21"/>
          <w:rtl w:val="0"/>
        </w:rPr>
        <w:t xml:space="preserve">3.2 Counterparty Quality and Resilience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Cash at bank shall only be placed with institutions authorised and regulated by the PRA/FCA (FSCS-eligible) or equivalent home-country regulator in other jurisdictions.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MMF investments shall be rated AAA by at least one of Moody’s, S&amp;P, or Fitch. Only constant or low-volatility NAV funds are permitted without CFO approval.</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Non-rated or challenger institutions: maximum £</w:t>
      </w:r>
      <w:r w:rsidDel="00000000" w:rsidR="00000000" w:rsidRPr="00000000">
        <w:rPr>
          <w:color w:val="1a1a2e"/>
          <w:rtl w:val="0"/>
        </w:rPr>
        <w:t xml:space="preserve">120</w:t>
      </w: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,000 per institution (FSCS limit), requiring prior CFO approval.</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The company shall maintain active banking relationships with at least two primary providers to ensure payroll and critical payments can be made if one provider fails or restricts the account.</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The CFO shall review the approved counterparty list at least annually, with reference to credit ratings, regulatory standing, and any material adverse developments.</w:t>
      </w:r>
      <w:r w:rsidDel="00000000" w:rsidR="00000000" w:rsidRPr="00000000">
        <w:rPr>
          <w:rtl w:val="0"/>
        </w:rPr>
      </w:r>
    </w:p>
    <w:p w:rsidR="00000000" w:rsidDel="00000000" w:rsidP="00000000" w:rsidRDefault="00000000" w:rsidRPr="00000000" w14:paraId="00000051">
      <w:pPr>
        <w:pStyle w:val="Heading1"/>
        <w:spacing w:after="80" w:before="240" w:lineRule="auto"/>
        <w:rPr>
          <w:color w:val="009463"/>
        </w:rPr>
      </w:pPr>
      <w:r w:rsidDel="00000000" w:rsidR="00000000" w:rsidRPr="00000000">
        <w:rPr>
          <w:rFonts w:ascii="Arial" w:cs="Arial" w:eastAsia="Arial" w:hAnsi="Arial"/>
          <w:b w:val="1"/>
          <w:bCs w:val="1"/>
          <w:color w:val="009463"/>
          <w:sz w:val="25"/>
          <w:szCs w:val="25"/>
          <w:rtl w:val="0"/>
        </w:rPr>
        <w:t xml:space="preserve">4. Cash Forecasting</w:t>
      </w:r>
      <w:r w:rsidDel="00000000" w:rsidR="00000000" w:rsidRPr="00000000">
        <w:rPr>
          <w:rtl w:val="0"/>
        </w:rPr>
      </w:r>
    </w:p>
    <w:p w:rsidR="00000000" w:rsidDel="00000000" w:rsidP="00000000" w:rsidRDefault="00000000" w:rsidRPr="00000000" w14:paraId="00000052">
      <w:pPr>
        <w:spacing w:after="70" w:line="260" w:lineRule="auto"/>
        <w:rPr/>
      </w:pPr>
      <w:r w:rsidDel="00000000" w:rsidR="00000000" w:rsidRPr="00000000">
        <w:rPr>
          <w:rFonts w:ascii="Arial" w:cs="Arial" w:eastAsia="Arial" w:hAnsi="Arial"/>
          <w:color w:val="1a1a2e"/>
          <w:sz w:val="19"/>
          <w:szCs w:val="19"/>
          <w:rtl w:val="0"/>
        </w:rPr>
        <w:t xml:space="preserve">Accurate and timely cash forecasting is the foundation of effective cash management. The company shall maintain a rolling 13-week cash flow forecast, updated weekly, using the direct method (projecting actual receipts and payments rather than adjusting accrual-based P&amp;L figures). Where available, Open Banking feeds or ERP integrations shall provide real-time balance visibility.</w:t>
      </w:r>
      <w:r w:rsidDel="00000000" w:rsidR="00000000" w:rsidRPr="00000000">
        <w:rPr>
          <w:rtl w:val="0"/>
        </w:rPr>
      </w:r>
    </w:p>
    <w:p w:rsidR="00000000" w:rsidDel="00000000" w:rsidP="00000000" w:rsidRDefault="00000000" w:rsidRPr="00000000" w14:paraId="00000053">
      <w:pPr>
        <w:spacing w:after="20" w:lineRule="auto"/>
        <w:rPr/>
      </w:pPr>
      <w:r w:rsidDel="00000000" w:rsidR="00000000" w:rsidRPr="00000000">
        <w:rPr>
          <w:rtl w:val="0"/>
        </w:rPr>
      </w:r>
    </w:p>
    <w:p w:rsidR="00000000" w:rsidDel="00000000" w:rsidP="00000000" w:rsidRDefault="00000000" w:rsidRPr="00000000" w14:paraId="00000054">
      <w:pPr>
        <w:spacing w:after="70" w:line="260" w:lineRule="auto"/>
        <w:rPr/>
      </w:pPr>
      <w:r w:rsidDel="00000000" w:rsidR="00000000" w:rsidRPr="00000000">
        <w:rPr>
          <w:rFonts w:ascii="Arial" w:cs="Arial" w:eastAsia="Arial" w:hAnsi="Arial"/>
          <w:b w:val="1"/>
          <w:bCs w:val="1"/>
          <w:color w:val="1a1a2e"/>
          <w:sz w:val="19"/>
          <w:szCs w:val="19"/>
          <w:rtl w:val="0"/>
        </w:rPr>
        <w:t xml:space="preserve">Forecast inputs: </w:t>
      </w:r>
      <w:r w:rsidDel="00000000" w:rsidR="00000000" w:rsidRPr="00000000">
        <w:rPr>
          <w:rFonts w:ascii="Arial" w:cs="Arial" w:eastAsia="Arial" w:hAnsi="Arial"/>
          <w:color w:val="1a1a2e"/>
          <w:sz w:val="19"/>
          <w:szCs w:val="19"/>
          <w:rtl w:val="0"/>
        </w:rPr>
        <w:t xml:space="preserve">AR ageing and collection patterns, AP schedules, payroll and tax calendars, recurring contractual commitments, known one-off items, and FX-denominated flows with expected conversion timing.</w:t>
      </w:r>
      <w:r w:rsidDel="00000000" w:rsidR="00000000" w:rsidRPr="00000000">
        <w:rPr>
          <w:rtl w:val="0"/>
        </w:rPr>
      </w:r>
    </w:p>
    <w:p w:rsidR="00000000" w:rsidDel="00000000" w:rsidP="00000000" w:rsidRDefault="00000000" w:rsidRPr="00000000" w14:paraId="00000055">
      <w:pPr>
        <w:spacing w:after="20" w:lineRule="auto"/>
        <w:rPr/>
      </w:pPr>
      <w:r w:rsidDel="00000000" w:rsidR="00000000" w:rsidRPr="00000000">
        <w:rPr>
          <w:rtl w:val="0"/>
        </w:rPr>
      </w:r>
    </w:p>
    <w:p w:rsidR="00000000" w:rsidDel="00000000" w:rsidP="00000000" w:rsidRDefault="00000000" w:rsidRPr="00000000" w14:paraId="00000056">
      <w:pPr>
        <w:spacing w:after="70" w:line="260" w:lineRule="auto"/>
        <w:rPr/>
      </w:pPr>
      <w:r w:rsidDel="00000000" w:rsidR="00000000" w:rsidRPr="00000000">
        <w:rPr>
          <w:rFonts w:ascii="Arial" w:cs="Arial" w:eastAsia="Arial" w:hAnsi="Arial"/>
          <w:b w:val="1"/>
          <w:bCs w:val="1"/>
          <w:color w:val="1a1a2e"/>
          <w:sz w:val="19"/>
          <w:szCs w:val="19"/>
          <w:rtl w:val="0"/>
        </w:rPr>
        <w:t xml:space="preserve">Accuracy tracking. </w:t>
      </w:r>
      <w:r w:rsidDel="00000000" w:rsidR="00000000" w:rsidRPr="00000000">
        <w:rPr>
          <w:rFonts w:ascii="Arial" w:cs="Arial" w:eastAsia="Arial" w:hAnsi="Arial"/>
          <w:color w:val="1a1a2e"/>
          <w:sz w:val="19"/>
          <w:szCs w:val="19"/>
          <w:rtl w:val="0"/>
        </w:rPr>
        <w:t xml:space="preserve">Forecast accuracy shall be tracked weekly by comparing projected vs actual closing cash. Target: less than 10% variance over a rolling 4-week period. Persistent variance beyond this threshold should prompt a review of forecast assumptions and data sources.</w:t>
      </w:r>
      <w:r w:rsidDel="00000000" w:rsidR="00000000" w:rsidRPr="00000000">
        <w:rPr>
          <w:rtl w:val="0"/>
        </w:rPr>
      </w:r>
    </w:p>
    <w:p w:rsidR="00000000" w:rsidDel="00000000" w:rsidP="00000000" w:rsidRDefault="00000000" w:rsidRPr="00000000" w14:paraId="00000057">
      <w:pPr>
        <w:spacing w:after="20" w:lineRule="auto"/>
        <w:rPr/>
      </w:pPr>
      <w:r w:rsidDel="00000000" w:rsidR="00000000" w:rsidRPr="00000000">
        <w:rPr>
          <w:rtl w:val="0"/>
        </w:rPr>
      </w:r>
    </w:p>
    <w:p w:rsidR="00000000" w:rsidDel="00000000" w:rsidP="00000000" w:rsidRDefault="00000000" w:rsidRPr="00000000" w14:paraId="00000058">
      <w:pPr>
        <w:spacing w:after="70" w:line="260" w:lineRule="auto"/>
        <w:rPr/>
      </w:pPr>
      <w:r w:rsidDel="00000000" w:rsidR="00000000" w:rsidRPr="00000000">
        <w:rPr>
          <w:rFonts w:ascii="Arial" w:cs="Arial" w:eastAsia="Arial" w:hAnsi="Arial"/>
          <w:b w:val="1"/>
          <w:bCs w:val="1"/>
          <w:color w:val="1a1a2e"/>
          <w:sz w:val="19"/>
          <w:szCs w:val="19"/>
          <w:rtl w:val="0"/>
        </w:rPr>
        <w:t xml:space="preserve">Multi-currency visibility. </w:t>
      </w:r>
      <w:r w:rsidDel="00000000" w:rsidR="00000000" w:rsidRPr="00000000">
        <w:rPr>
          <w:rFonts w:ascii="Arial" w:cs="Arial" w:eastAsia="Arial" w:hAnsi="Arial"/>
          <w:color w:val="1a1a2e"/>
          <w:sz w:val="19"/>
          <w:szCs w:val="19"/>
          <w:rtl w:val="0"/>
        </w:rPr>
        <w:t xml:space="preserve">Where the company holds or receives multiple currencies, the forecast shall show gross positions by currency, using spot rates for unhedged and contracted rates for hedged positions. FX conversion timing should be captured to avoid liquidity gaps between payment obligations and currency availability.</w:t>
      </w:r>
      <w:r w:rsidDel="00000000" w:rsidR="00000000" w:rsidRPr="00000000">
        <w:rPr>
          <w:rtl w:val="0"/>
        </w:rPr>
      </w:r>
    </w:p>
    <w:p w:rsidR="00000000" w:rsidDel="00000000" w:rsidP="00000000" w:rsidRDefault="00000000" w:rsidRPr="00000000" w14:paraId="00000059">
      <w:pPr>
        <w:pStyle w:val="Heading1"/>
        <w:spacing w:after="80" w:before="240" w:lineRule="auto"/>
        <w:rPr>
          <w:color w:val="009463"/>
        </w:rPr>
      </w:pPr>
      <w:r w:rsidDel="00000000" w:rsidR="00000000" w:rsidRPr="00000000">
        <w:rPr>
          <w:rFonts w:ascii="Arial" w:cs="Arial" w:eastAsia="Arial" w:hAnsi="Arial"/>
          <w:b w:val="1"/>
          <w:bCs w:val="1"/>
          <w:color w:val="009463"/>
          <w:sz w:val="25"/>
          <w:szCs w:val="25"/>
          <w:rtl w:val="0"/>
        </w:rPr>
        <w:t xml:space="preserve">5. Minimum Liquidity Requirements</w:t>
      </w:r>
      <w:r w:rsidDel="00000000" w:rsidR="00000000" w:rsidRPr="00000000">
        <w:rPr>
          <w:rtl w:val="0"/>
        </w:rPr>
      </w:r>
    </w:p>
    <w:p w:rsidR="00000000" w:rsidDel="00000000" w:rsidP="00000000" w:rsidRDefault="00000000" w:rsidRPr="00000000" w14:paraId="0000005A">
      <w:pPr>
        <w:spacing w:after="70" w:line="260" w:lineRule="auto"/>
        <w:rPr/>
      </w:pPr>
      <w:r w:rsidDel="00000000" w:rsidR="00000000" w:rsidRPr="00000000">
        <w:rPr>
          <w:rFonts w:ascii="Arial" w:cs="Arial" w:eastAsia="Arial" w:hAnsi="Arial"/>
          <w:color w:val="1a1a2e"/>
          <w:sz w:val="19"/>
          <w:szCs w:val="19"/>
          <w:rtl w:val="0"/>
        </w:rPr>
        <w:t xml:space="preserve">The company shall maintain a minimum liquidity runway sufficient to meet all obligations and continue operations through a period of stress. Liquidity for this purpose includes: cash at bank, undrawn committed credit facilities, MMF balances redeemable within seven days, T-bills.</w:t>
      </w:r>
      <w:r w:rsidDel="00000000" w:rsidR="00000000" w:rsidRPr="00000000">
        <w:rPr>
          <w:rtl w:val="0"/>
        </w:rPr>
      </w:r>
    </w:p>
    <w:p w:rsidR="00000000" w:rsidDel="00000000" w:rsidP="00000000" w:rsidRDefault="00000000" w:rsidRPr="00000000" w14:paraId="0000005B">
      <w:pPr>
        <w:spacing w:after="20" w:lineRule="auto"/>
        <w:rPr/>
      </w:pPr>
      <w:r w:rsidDel="00000000" w:rsidR="00000000" w:rsidRPr="00000000">
        <w:rPr>
          <w:rtl w:val="0"/>
        </w:rPr>
      </w:r>
    </w:p>
    <w:tbl>
      <w:tblPr>
        <w:tblStyle w:val="Table4"/>
        <w:tblW w:w="9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0"/>
        <w:gridCol w:w="6206"/>
        <w:tblGridChange w:id="0">
          <w:tblGrid>
            <w:gridCol w:w="3100"/>
            <w:gridCol w:w="6206"/>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ffffff"/>
                <w:sz w:val="17"/>
                <w:szCs w:val="17"/>
                <w:rtl w:val="0"/>
              </w:rPr>
              <w:t xml:space="preserve">Metric</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5D">
            <w:pPr>
              <w:rPr/>
            </w:pPr>
            <w:r w:rsidDel="00000000" w:rsidR="00000000" w:rsidRPr="00000000">
              <w:rPr>
                <w:rFonts w:ascii="Arial" w:cs="Arial" w:eastAsia="Arial" w:hAnsi="Arial"/>
                <w:b w:val="1"/>
                <w:bCs w:val="1"/>
                <w:color w:val="ffffff"/>
                <w:sz w:val="17"/>
                <w:szCs w:val="17"/>
                <w:rtl w:val="0"/>
              </w:rPr>
              <w:t xml:space="preserve">Requirement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tcMar>
              <w:top w:w="60.0" w:type="dxa"/>
              <w:left w:w="100.0" w:type="dxa"/>
              <w:bottom w:w="60.0" w:type="dxa"/>
              <w:right w:w="100.0" w:type="dxa"/>
            </w:tcMar>
          </w:tcPr>
          <w:p w:rsidR="00000000" w:rsidDel="00000000" w:rsidP="00000000" w:rsidRDefault="00000000" w:rsidRPr="00000000" w14:paraId="0000005E">
            <w:pPr>
              <w:rPr/>
            </w:pPr>
            <w:r w:rsidDel="00000000" w:rsidR="00000000" w:rsidRPr="00000000">
              <w:rPr>
                <w:rFonts w:ascii="Arial" w:cs="Arial" w:eastAsia="Arial" w:hAnsi="Arial"/>
                <w:b w:val="1"/>
                <w:bCs w:val="1"/>
                <w:color w:val="1a1a2e"/>
                <w:sz w:val="17"/>
                <w:szCs w:val="17"/>
                <w:rtl w:val="0"/>
              </w:rPr>
              <w:t xml:space="preserve">Minimum liquidity runway</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tcMar>
              <w:top w:w="60.0" w:type="dxa"/>
              <w:left w:w="100.0" w:type="dxa"/>
              <w:bottom w:w="60.0" w:type="dxa"/>
              <w:right w:w="100.0" w:type="dxa"/>
            </w:tcMar>
          </w:tcPr>
          <w:p w:rsidR="00000000" w:rsidDel="00000000" w:rsidP="00000000" w:rsidRDefault="00000000" w:rsidRPr="00000000" w14:paraId="0000005F">
            <w:pPr>
              <w:rPr/>
            </w:pPr>
            <w:r w:rsidDel="00000000" w:rsidR="00000000" w:rsidRPr="00000000">
              <w:rPr>
                <w:rFonts w:ascii="Arial" w:cs="Arial" w:eastAsia="Arial" w:hAnsi="Arial"/>
                <w:color w:val="1a1a2e"/>
                <w:sz w:val="17"/>
                <w:szCs w:val="17"/>
                <w:rtl w:val="0"/>
              </w:rPr>
              <w:t xml:space="preserve">[12] months of projected operating expenditure</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1a1a2e"/>
                <w:sz w:val="17"/>
                <w:szCs w:val="17"/>
                <w:rtl w:val="0"/>
              </w:rPr>
              <w:t xml:space="preserve">Warning threshold</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61">
            <w:pPr>
              <w:rPr/>
            </w:pPr>
            <w:r w:rsidDel="00000000" w:rsidR="00000000" w:rsidRPr="00000000">
              <w:rPr>
                <w:rFonts w:ascii="Arial" w:cs="Arial" w:eastAsia="Arial" w:hAnsi="Arial"/>
                <w:color w:val="1a1a2e"/>
                <w:sz w:val="17"/>
                <w:szCs w:val="17"/>
                <w:rtl w:val="0"/>
              </w:rPr>
              <w:t xml:space="preserve">When runway falls below [15] months, CFO escalates to CEO and board</w:t>
            </w:r>
            <w:r w:rsidDel="00000000" w:rsidR="00000000" w:rsidRPr="00000000">
              <w:rPr>
                <w:rtl w:val="0"/>
              </w:rPr>
            </w:r>
          </w:p>
        </w:tc>
      </w:tr>
    </w:tbl>
    <w:p w:rsidR="00000000" w:rsidDel="00000000" w:rsidP="00000000" w:rsidRDefault="00000000" w:rsidRPr="00000000" w14:paraId="00000062">
      <w:pPr>
        <w:spacing w:after="30" w:lineRule="auto"/>
        <w:rPr/>
      </w:pPr>
      <w:r w:rsidDel="00000000" w:rsidR="00000000" w:rsidRPr="00000000">
        <w:rPr>
          <w:rtl w:val="0"/>
        </w:rPr>
      </w:r>
    </w:p>
    <w:p w:rsidR="00000000" w:rsidDel="00000000" w:rsidP="00000000" w:rsidRDefault="00000000" w:rsidRPr="00000000" w14:paraId="00000063">
      <w:pPr>
        <w:spacing w:after="70" w:line="260" w:lineRule="auto"/>
        <w:rPr/>
      </w:pPr>
      <w:r w:rsidDel="00000000" w:rsidR="00000000" w:rsidRPr="00000000">
        <w:rPr>
          <w:rFonts w:ascii="Arial" w:cs="Arial" w:eastAsia="Arial" w:hAnsi="Arial"/>
          <w:i w:val="1"/>
          <w:iCs w:val="1"/>
          <w:color w:val="5d6d7e"/>
          <w:sz w:val="17"/>
          <w:szCs w:val="17"/>
          <w:rtl w:val="0"/>
        </w:rPr>
        <w:t xml:space="preserve">[Guidance: Pre-revenue or early-stage businesses may need 18–24 months; profitable, cash-generative businesses may operate comfortably with 6–12 months. Adjust the numbers in brackets to your circumstances.]</w:t>
      </w:r>
      <w:r w:rsidDel="00000000" w:rsidR="00000000" w:rsidRPr="00000000">
        <w:rPr>
          <w:rtl w:val="0"/>
        </w:rPr>
      </w:r>
    </w:p>
    <w:p w:rsidR="00000000" w:rsidDel="00000000" w:rsidP="00000000" w:rsidRDefault="00000000" w:rsidRPr="00000000" w14:paraId="00000064">
      <w:pPr>
        <w:spacing w:after="20" w:lineRule="auto"/>
        <w:rPr/>
      </w:pPr>
      <w:r w:rsidDel="00000000" w:rsidR="00000000" w:rsidRPr="00000000">
        <w:rPr>
          <w:rtl w:val="0"/>
        </w:rPr>
      </w:r>
    </w:p>
    <w:p w:rsidR="00000000" w:rsidDel="00000000" w:rsidP="00000000" w:rsidRDefault="00000000" w:rsidRPr="00000000" w14:paraId="00000065">
      <w:pPr>
        <w:spacing w:after="70" w:line="260" w:lineRule="auto"/>
        <w:rPr/>
      </w:pPr>
      <w:r w:rsidDel="00000000" w:rsidR="00000000" w:rsidRPr="00000000">
        <w:rPr>
          <w:rFonts w:ascii="Arial" w:cs="Arial" w:eastAsia="Arial" w:hAnsi="Arial"/>
          <w:b w:val="1"/>
          <w:bCs w:val="1"/>
          <w:color w:val="1a1a2e"/>
          <w:sz w:val="19"/>
          <w:szCs w:val="19"/>
          <w:rtl w:val="0"/>
        </w:rPr>
        <w:t xml:space="preserve">Stress testing. </w:t>
      </w:r>
      <w:r w:rsidDel="00000000" w:rsidR="00000000" w:rsidRPr="00000000">
        <w:rPr>
          <w:rFonts w:ascii="Arial" w:cs="Arial" w:eastAsia="Arial" w:hAnsi="Arial"/>
          <w:color w:val="1a1a2e"/>
          <w:sz w:val="19"/>
          <w:szCs w:val="19"/>
          <w:rtl w:val="0"/>
        </w:rPr>
        <w:t xml:space="preserve">The CFO shall conduct a quarterly stress test modelling plausible downside scenarios. At minimum, the following should be modelled individually and, where material, in combination:</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30-day delay in collection from the single largest debtor</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Loss of one major customer (top 3 by revenue contribution)</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A 10–15% adverse FX move on the largest unhedged currency exposure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Sudden material cash outflow (e.g. regulatory penalty, acquisition deposit, warranty claim)</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Temporary inability to access one banking provider (debanking/operational failure)</w:t>
      </w:r>
      <w:r w:rsidDel="00000000" w:rsidR="00000000" w:rsidRPr="00000000">
        <w:rPr>
          <w:rtl w:val="0"/>
        </w:rPr>
      </w:r>
    </w:p>
    <w:p w:rsidR="00000000" w:rsidDel="00000000" w:rsidP="00000000" w:rsidRDefault="00000000" w:rsidRPr="00000000" w14:paraId="0000006B">
      <w:pPr>
        <w:pStyle w:val="Heading1"/>
        <w:spacing w:after="80" w:before="240" w:lineRule="auto"/>
        <w:rPr>
          <w:color w:val="009463"/>
        </w:rPr>
      </w:pPr>
      <w:r w:rsidDel="00000000" w:rsidR="00000000" w:rsidRPr="00000000">
        <w:rPr>
          <w:color w:val="009463"/>
          <w:rtl w:val="0"/>
        </w:rPr>
        <w:br w:type="textWrapping"/>
        <w:br w:type="textWrapping"/>
      </w:r>
      <w:r w:rsidDel="00000000" w:rsidR="00000000" w:rsidRPr="00000000">
        <w:rPr>
          <w:rFonts w:ascii="Arial" w:cs="Arial" w:eastAsia="Arial" w:hAnsi="Arial"/>
          <w:b w:val="1"/>
          <w:bCs w:val="1"/>
          <w:color w:val="009463"/>
          <w:sz w:val="25"/>
          <w:szCs w:val="25"/>
          <w:rtl w:val="0"/>
        </w:rPr>
        <w:t xml:space="preserve">6. Governance and Controls</w:t>
      </w:r>
      <w:r w:rsidDel="00000000" w:rsidR="00000000" w:rsidRPr="00000000">
        <w:rPr>
          <w:rtl w:val="0"/>
        </w:rPr>
      </w:r>
    </w:p>
    <w:p w:rsidR="00000000" w:rsidDel="00000000" w:rsidP="00000000" w:rsidRDefault="00000000" w:rsidRPr="00000000" w14:paraId="0000006C">
      <w:pPr>
        <w:pStyle w:val="Heading2"/>
        <w:spacing w:after="60" w:before="160" w:lineRule="auto"/>
        <w:rPr>
          <w:color w:val="009463"/>
        </w:rPr>
      </w:pPr>
      <w:r w:rsidDel="00000000" w:rsidR="00000000" w:rsidRPr="00000000">
        <w:rPr>
          <w:rFonts w:ascii="Arial" w:cs="Arial" w:eastAsia="Arial" w:hAnsi="Arial"/>
          <w:b w:val="1"/>
          <w:bCs w:val="1"/>
          <w:color w:val="009463"/>
          <w:sz w:val="21"/>
          <w:szCs w:val="21"/>
          <w:rtl w:val="0"/>
        </w:rPr>
        <w:t xml:space="preserve">6.1 Authorisation Matrix</w:t>
      </w:r>
      <w:r w:rsidDel="00000000" w:rsidR="00000000" w:rsidRPr="00000000">
        <w:rPr>
          <w:rtl w:val="0"/>
        </w:rPr>
      </w:r>
    </w:p>
    <w:tbl>
      <w:tblPr>
        <w:tblStyle w:val="Table5"/>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953"/>
        <w:gridCol w:w="2853"/>
        <w:tblGridChange w:id="0">
          <w:tblGrid>
            <w:gridCol w:w="3600"/>
            <w:gridCol w:w="2953"/>
            <w:gridCol w:w="2853"/>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6D">
            <w:pPr>
              <w:rPr/>
            </w:pPr>
            <w:r w:rsidDel="00000000" w:rsidR="00000000" w:rsidRPr="00000000">
              <w:rPr>
                <w:rFonts w:ascii="Arial" w:cs="Arial" w:eastAsia="Arial" w:hAnsi="Arial"/>
                <w:b w:val="1"/>
                <w:bCs w:val="1"/>
                <w:color w:val="ffffff"/>
                <w:sz w:val="17"/>
                <w:szCs w:val="17"/>
                <w:rtl w:val="0"/>
              </w:rPr>
              <w:t xml:space="preserve">Activity</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6E">
            <w:pPr>
              <w:rPr>
                <w:color w:val="ffff00"/>
              </w:rPr>
            </w:pPr>
            <w:r w:rsidDel="00000000" w:rsidR="00000000" w:rsidRPr="00000000">
              <w:rPr>
                <w:rFonts w:ascii="Arial" w:cs="Arial" w:eastAsia="Arial" w:hAnsi="Arial"/>
                <w:b w:val="1"/>
                <w:bCs w:val="1"/>
                <w:color w:val="ffff00"/>
                <w:sz w:val="17"/>
                <w:szCs w:val="17"/>
                <w:rtl w:val="0"/>
              </w:rPr>
              <w:t xml:space="preserve">Up to £[100k]</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6F">
            <w:pPr>
              <w:rPr>
                <w:color w:val="ffff00"/>
              </w:rPr>
            </w:pPr>
            <w:r w:rsidDel="00000000" w:rsidR="00000000" w:rsidRPr="00000000">
              <w:rPr>
                <w:rFonts w:ascii="Arial" w:cs="Arial" w:eastAsia="Arial" w:hAnsi="Arial"/>
                <w:b w:val="1"/>
                <w:bCs w:val="1"/>
                <w:color w:val="ffff00"/>
                <w:sz w:val="17"/>
                <w:szCs w:val="17"/>
                <w:rtl w:val="0"/>
              </w:rPr>
              <w:t xml:space="preserve">Above £[100k]</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tcMar>
              <w:top w:w="60.0" w:type="dxa"/>
              <w:left w:w="100.0" w:type="dxa"/>
              <w:bottom w:w="60.0" w:type="dxa"/>
              <w:right w:w="100.0" w:type="dxa"/>
            </w:tcMar>
          </w:tcPr>
          <w:p w:rsidR="00000000" w:rsidDel="00000000" w:rsidP="00000000" w:rsidRDefault="00000000" w:rsidRPr="00000000" w14:paraId="00000070">
            <w:pPr>
              <w:rPr/>
            </w:pPr>
            <w:r w:rsidDel="00000000" w:rsidR="00000000" w:rsidRPr="00000000">
              <w:rPr>
                <w:rFonts w:ascii="Arial" w:cs="Arial" w:eastAsia="Arial" w:hAnsi="Arial"/>
                <w:color w:val="1a1a2e"/>
                <w:sz w:val="17"/>
                <w:szCs w:val="17"/>
                <w:rtl w:val="0"/>
              </w:rPr>
              <w:t xml:space="preserve">Term deposit / MMF placement</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tcMar>
              <w:top w:w="60.0" w:type="dxa"/>
              <w:left w:w="100.0" w:type="dxa"/>
              <w:bottom w:w="60.0" w:type="dxa"/>
              <w:right w:w="100.0" w:type="dxa"/>
            </w:tcMar>
          </w:tcPr>
          <w:p w:rsidR="00000000" w:rsidDel="00000000" w:rsidP="00000000" w:rsidRDefault="00000000" w:rsidRPr="00000000" w14:paraId="00000071">
            <w:pPr>
              <w:rPr/>
            </w:pPr>
            <w:r w:rsidDel="00000000" w:rsidR="00000000" w:rsidRPr="00000000">
              <w:rPr>
                <w:rFonts w:ascii="Arial" w:cs="Arial" w:eastAsia="Arial" w:hAnsi="Arial"/>
                <w:color w:val="1a1a2e"/>
                <w:sz w:val="17"/>
                <w:szCs w:val="17"/>
                <w:rtl w:val="0"/>
              </w:rPr>
              <w:t xml:space="preserve">CFO or Fin. Controller</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72">
            <w:pPr>
              <w:rPr/>
            </w:pPr>
            <w:r w:rsidDel="00000000" w:rsidR="00000000" w:rsidRPr="00000000">
              <w:rPr>
                <w:rFonts w:ascii="Arial" w:cs="Arial" w:eastAsia="Arial" w:hAnsi="Arial"/>
                <w:color w:val="1a1a2e"/>
                <w:sz w:val="17"/>
                <w:szCs w:val="17"/>
                <w:rtl w:val="0"/>
              </w:rPr>
              <w:t xml:space="preserve">CFO</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73">
            <w:pPr>
              <w:rPr/>
            </w:pPr>
            <w:r w:rsidDel="00000000" w:rsidR="00000000" w:rsidRPr="00000000">
              <w:rPr>
                <w:rFonts w:ascii="Arial" w:cs="Arial" w:eastAsia="Arial" w:hAnsi="Arial"/>
                <w:color w:val="1a1a2e"/>
                <w:sz w:val="17"/>
                <w:szCs w:val="17"/>
                <w:rtl w:val="0"/>
              </w:rPr>
              <w:t xml:space="preserve">New banking relationship</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74">
            <w:pPr>
              <w:rPr/>
            </w:pPr>
            <w:r w:rsidDel="00000000" w:rsidR="00000000" w:rsidRPr="00000000">
              <w:rPr>
                <w:rFonts w:ascii="Arial" w:cs="Arial" w:eastAsia="Arial" w:hAnsi="Arial"/>
                <w:color w:val="1a1a2e"/>
                <w:sz w:val="17"/>
                <w:szCs w:val="17"/>
                <w:rtl w:val="0"/>
              </w:rPr>
              <w:t xml:space="preserve">CFO</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75">
            <w:pPr>
              <w:rPr/>
            </w:pPr>
            <w:r w:rsidDel="00000000" w:rsidR="00000000" w:rsidRPr="00000000">
              <w:rPr>
                <w:rFonts w:ascii="Arial" w:cs="Arial" w:eastAsia="Arial" w:hAnsi="Arial"/>
                <w:color w:val="1a1a2e"/>
                <w:sz w:val="17"/>
                <w:szCs w:val="17"/>
                <w:rtl w:val="0"/>
              </w:rPr>
              <w:t xml:space="preserve">CFO + CEO</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76">
            <w:pPr>
              <w:rPr/>
            </w:pPr>
            <w:r w:rsidDel="00000000" w:rsidR="00000000" w:rsidRPr="00000000">
              <w:rPr>
                <w:rFonts w:ascii="Arial" w:cs="Arial" w:eastAsia="Arial" w:hAnsi="Arial"/>
                <w:color w:val="1a1a2e"/>
                <w:sz w:val="17"/>
                <w:szCs w:val="17"/>
                <w:rtl w:val="0"/>
              </w:rPr>
              <w:t xml:space="preserve">Credit facility drawdown</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77">
            <w:pPr>
              <w:rPr/>
            </w:pPr>
            <w:r w:rsidDel="00000000" w:rsidR="00000000" w:rsidRPr="00000000">
              <w:rPr>
                <w:rFonts w:ascii="Arial" w:cs="Arial" w:eastAsia="Arial" w:hAnsi="Arial"/>
                <w:color w:val="1a1a2e"/>
                <w:sz w:val="17"/>
                <w:szCs w:val="17"/>
                <w:rtl w:val="0"/>
              </w:rPr>
              <w:t xml:space="preserve">CFO</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78">
            <w:pPr>
              <w:rPr/>
            </w:pPr>
            <w:r w:rsidDel="00000000" w:rsidR="00000000" w:rsidRPr="00000000">
              <w:rPr>
                <w:rFonts w:ascii="Arial" w:cs="Arial" w:eastAsia="Arial" w:hAnsi="Arial"/>
                <w:color w:val="1a1a2e"/>
                <w:sz w:val="17"/>
                <w:szCs w:val="17"/>
                <w:rtl w:val="0"/>
              </w:rPr>
              <w:t xml:space="preserve">CFO + CEO</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79">
            <w:pPr>
              <w:rPr/>
            </w:pPr>
            <w:r w:rsidDel="00000000" w:rsidR="00000000" w:rsidRPr="00000000">
              <w:rPr>
                <w:rFonts w:ascii="Arial" w:cs="Arial" w:eastAsia="Arial" w:hAnsi="Arial"/>
                <w:color w:val="1a1a2e"/>
                <w:sz w:val="17"/>
                <w:szCs w:val="17"/>
                <w:rtl w:val="0"/>
              </w:rPr>
              <w:t xml:space="preserve">Intercompany transfers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7A">
            <w:pPr>
              <w:rPr/>
            </w:pPr>
            <w:r w:rsidDel="00000000" w:rsidR="00000000" w:rsidRPr="00000000">
              <w:rPr>
                <w:rFonts w:ascii="Arial" w:cs="Arial" w:eastAsia="Arial" w:hAnsi="Arial"/>
                <w:color w:val="1a1a2e"/>
                <w:sz w:val="17"/>
                <w:szCs w:val="17"/>
                <w:rtl w:val="0"/>
              </w:rPr>
              <w:t xml:space="preserve">CFO or Fin. Controller</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7B">
            <w:pPr>
              <w:rPr/>
            </w:pPr>
            <w:r w:rsidDel="00000000" w:rsidR="00000000" w:rsidRPr="00000000">
              <w:rPr>
                <w:rFonts w:ascii="Arial" w:cs="Arial" w:eastAsia="Arial" w:hAnsi="Arial"/>
                <w:color w:val="1a1a2e"/>
                <w:sz w:val="17"/>
                <w:szCs w:val="17"/>
                <w:rtl w:val="0"/>
              </w:rPr>
              <w:t xml:space="preserve">CFO</w:t>
            </w:r>
            <w:r w:rsidDel="00000000" w:rsidR="00000000" w:rsidRPr="00000000">
              <w:rPr>
                <w:rtl w:val="0"/>
              </w:rPr>
            </w:r>
          </w:p>
        </w:tc>
      </w:tr>
    </w:tbl>
    <w:p w:rsidR="00000000" w:rsidDel="00000000" w:rsidP="00000000" w:rsidRDefault="00000000" w:rsidRPr="00000000" w14:paraId="0000007C">
      <w:pPr>
        <w:spacing w:after="30" w:lineRule="auto"/>
        <w:rPr/>
      </w:pPr>
      <w:r w:rsidDel="00000000" w:rsidR="00000000" w:rsidRPr="00000000">
        <w:rPr>
          <w:rtl w:val="0"/>
        </w:rPr>
      </w:r>
    </w:p>
    <w:p w:rsidR="00000000" w:rsidDel="00000000" w:rsidP="00000000" w:rsidRDefault="00000000" w:rsidRPr="00000000" w14:paraId="0000007D">
      <w:pPr>
        <w:spacing w:after="70" w:line="260" w:lineRule="auto"/>
        <w:rPr/>
      </w:pPr>
      <w:r w:rsidDel="00000000" w:rsidR="00000000" w:rsidRPr="00000000">
        <w:rPr>
          <w:rFonts w:ascii="Arial" w:cs="Arial" w:eastAsia="Arial" w:hAnsi="Arial"/>
          <w:i w:val="1"/>
          <w:iCs w:val="1"/>
          <w:color w:val="5d6d7e"/>
          <w:sz w:val="17"/>
          <w:szCs w:val="17"/>
          <w:rtl w:val="0"/>
        </w:rPr>
        <w:t xml:space="preserve">[See FX Risk Management Policy for FX transaction and hedging authorisation limits.]</w:t>
      </w:r>
      <w:r w:rsidDel="00000000" w:rsidR="00000000" w:rsidRPr="00000000">
        <w:rPr>
          <w:rtl w:val="0"/>
        </w:rPr>
      </w:r>
    </w:p>
    <w:p w:rsidR="00000000" w:rsidDel="00000000" w:rsidP="00000000" w:rsidRDefault="00000000" w:rsidRPr="00000000" w14:paraId="0000007E">
      <w:pPr>
        <w:pStyle w:val="Heading2"/>
        <w:spacing w:after="60" w:before="160" w:lineRule="auto"/>
        <w:rPr>
          <w:color w:val="009463"/>
        </w:rPr>
      </w:pPr>
      <w:r w:rsidDel="00000000" w:rsidR="00000000" w:rsidRPr="00000000">
        <w:rPr>
          <w:rFonts w:ascii="Arial" w:cs="Arial" w:eastAsia="Arial" w:hAnsi="Arial"/>
          <w:b w:val="1"/>
          <w:bCs w:val="1"/>
          <w:color w:val="009463"/>
          <w:sz w:val="21"/>
          <w:szCs w:val="21"/>
          <w:rtl w:val="0"/>
        </w:rPr>
        <w:t xml:space="preserve">6.2 Prohibited Activities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Speculative trading in currencies, commodities, or financial instruments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Investment in cryptocurrencies, digital assets, or unregulated securities without explicit board approval</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Placement of deposits with unregulated or non-FSCS-covered institutions above the FSCS limit (£85k)</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Entering into any borrowing arrangement, guarantee, or derivative contract outside this policy and the FX Risk Management Policy</w:t>
      </w:r>
      <w:r w:rsidDel="00000000" w:rsidR="00000000" w:rsidRPr="00000000">
        <w:rPr>
          <w:rtl w:val="0"/>
        </w:rPr>
      </w:r>
    </w:p>
    <w:p w:rsidR="00000000" w:rsidDel="00000000" w:rsidP="00000000" w:rsidRDefault="00000000" w:rsidRPr="00000000" w14:paraId="00000083">
      <w:pPr>
        <w:spacing w:after="20" w:lineRule="auto"/>
        <w:rPr/>
      </w:pPr>
      <w:r w:rsidDel="00000000" w:rsidR="00000000" w:rsidRPr="00000000">
        <w:rPr>
          <w:rtl w:val="0"/>
        </w:rPr>
      </w:r>
    </w:p>
    <w:p w:rsidR="00000000" w:rsidDel="00000000" w:rsidP="00000000" w:rsidRDefault="00000000" w:rsidRPr="00000000" w14:paraId="00000084">
      <w:pPr>
        <w:pStyle w:val="Heading2"/>
        <w:spacing w:after="60" w:before="160" w:lineRule="auto"/>
        <w:rPr>
          <w:color w:val="009463"/>
        </w:rPr>
      </w:pPr>
      <w:r w:rsidDel="00000000" w:rsidR="00000000" w:rsidRPr="00000000">
        <w:rPr>
          <w:rFonts w:ascii="Arial" w:cs="Arial" w:eastAsia="Arial" w:hAnsi="Arial"/>
          <w:b w:val="1"/>
          <w:bCs w:val="1"/>
          <w:color w:val="009463"/>
          <w:sz w:val="21"/>
          <w:szCs w:val="21"/>
          <w:rtl w:val="0"/>
        </w:rPr>
        <w:t xml:space="preserve">6.3 Segregation of Duties</w:t>
      </w:r>
      <w:r w:rsidDel="00000000" w:rsidR="00000000" w:rsidRPr="00000000">
        <w:rPr>
          <w:rtl w:val="0"/>
        </w:rPr>
      </w:r>
    </w:p>
    <w:p w:rsidR="00000000" w:rsidDel="00000000" w:rsidP="00000000" w:rsidRDefault="00000000" w:rsidRPr="00000000" w14:paraId="00000085">
      <w:pPr>
        <w:spacing w:after="70" w:line="260" w:lineRule="auto"/>
        <w:rPr/>
      </w:pPr>
      <w:r w:rsidDel="00000000" w:rsidR="00000000" w:rsidRPr="00000000">
        <w:rPr>
          <w:rFonts w:ascii="Arial" w:cs="Arial" w:eastAsia="Arial" w:hAnsi="Arial"/>
          <w:color w:val="1a1a2e"/>
          <w:sz w:val="19"/>
          <w:szCs w:val="19"/>
          <w:rtl w:val="0"/>
        </w:rPr>
        <w:t xml:space="preserve">Where the size and structure of the finance team permits, the person initiating a payment or deposit placement should not be the sole approver. At minimum, bank account access and payment authorisation should require dual signatories above a threshold defined by the CFO. All bank account mandates and authorised signatory lists shall be reviewed at least annually.</w:t>
      </w:r>
      <w:r w:rsidDel="00000000" w:rsidR="00000000" w:rsidRPr="00000000">
        <w:rPr>
          <w:rtl w:val="0"/>
        </w:rPr>
      </w:r>
    </w:p>
    <w:p w:rsidR="00000000" w:rsidDel="00000000" w:rsidP="00000000" w:rsidRDefault="00000000" w:rsidRPr="00000000" w14:paraId="00000086">
      <w:pPr>
        <w:pStyle w:val="Heading2"/>
        <w:spacing w:after="60" w:before="160" w:lineRule="auto"/>
        <w:rPr>
          <w:color w:val="009463"/>
        </w:rPr>
      </w:pPr>
      <w:r w:rsidDel="00000000" w:rsidR="00000000" w:rsidRPr="00000000">
        <w:rPr>
          <w:rFonts w:ascii="Arial" w:cs="Arial" w:eastAsia="Arial" w:hAnsi="Arial"/>
          <w:b w:val="1"/>
          <w:bCs w:val="1"/>
          <w:color w:val="009463"/>
          <w:sz w:val="21"/>
          <w:szCs w:val="21"/>
          <w:rtl w:val="0"/>
        </w:rPr>
        <w:t xml:space="preserve">6.4 Board Reporting</w:t>
      </w:r>
      <w:r w:rsidDel="00000000" w:rsidR="00000000" w:rsidRPr="00000000">
        <w:rPr>
          <w:rtl w:val="0"/>
        </w:rPr>
      </w:r>
    </w:p>
    <w:p w:rsidR="00000000" w:rsidDel="00000000" w:rsidP="00000000" w:rsidRDefault="00000000" w:rsidRPr="00000000" w14:paraId="00000087">
      <w:pPr>
        <w:spacing w:after="70" w:line="260" w:lineRule="auto"/>
        <w:rPr/>
      </w:pPr>
      <w:r w:rsidDel="00000000" w:rsidR="00000000" w:rsidRPr="00000000">
        <w:rPr>
          <w:rFonts w:ascii="Arial" w:cs="Arial" w:eastAsia="Arial" w:hAnsi="Arial"/>
          <w:color w:val="1a1a2e"/>
          <w:sz w:val="19"/>
          <w:szCs w:val="19"/>
          <w:rtl w:val="0"/>
        </w:rPr>
        <w:t xml:space="preserve">The CFO shall report to the board </w:t>
      </w:r>
      <w:r w:rsidDel="00000000" w:rsidR="00000000" w:rsidRPr="00000000">
        <w:rPr>
          <w:rFonts w:ascii="Arial" w:cs="Arial" w:eastAsia="Arial" w:hAnsi="Arial"/>
          <w:color w:val="1a1a2e"/>
          <w:sz w:val="19"/>
          <w:szCs w:val="19"/>
          <w:highlight w:val="yellow"/>
          <w:rtl w:val="0"/>
        </w:rPr>
        <w:t xml:space="preserve">[monthly/quarterly]</w:t>
      </w:r>
      <w:r w:rsidDel="00000000" w:rsidR="00000000" w:rsidRPr="00000000">
        <w:rPr>
          <w:rFonts w:ascii="Arial" w:cs="Arial" w:eastAsia="Arial" w:hAnsi="Arial"/>
          <w:color w:val="1a1a2e"/>
          <w:sz w:val="19"/>
          <w:szCs w:val="19"/>
          <w:rtl w:val="0"/>
        </w:rPr>
        <w:t xml:space="preserve"> on: liquidity runway and trend, cash forecast accuracy, counterparty concentration compliance, total banking cost as a percentage of revenue, and any breaches of or exceptions to this policy. The board shall formally review and re-approve this policy on an annual basis.</w:t>
      </w:r>
      <w:r w:rsidDel="00000000" w:rsidR="00000000" w:rsidRPr="00000000">
        <w:rPr>
          <w:rtl w:val="0"/>
        </w:rPr>
      </w:r>
    </w:p>
    <w:p w:rsidR="00000000" w:rsidDel="00000000" w:rsidP="00000000" w:rsidRDefault="00000000" w:rsidRPr="00000000" w14:paraId="00000088">
      <w:pPr>
        <w:spacing w:after="80" w:lineRule="auto"/>
        <w:rPr/>
      </w:pPr>
      <w:r w:rsidDel="00000000" w:rsidR="00000000" w:rsidRPr="00000000">
        <w:rPr>
          <w:rtl w:val="0"/>
        </w:rPr>
      </w:r>
    </w:p>
    <w:p w:rsidR="00000000" w:rsidDel="00000000" w:rsidP="00000000" w:rsidRDefault="00000000" w:rsidRPr="00000000" w14:paraId="00000089">
      <w:pPr>
        <w:pBdr>
          <w:top w:color="2e86c1" w:space="6" w:sz="4" w:val="single"/>
        </w:pBdr>
        <w:spacing w:after="50" w:before="60" w:lineRule="auto"/>
        <w:rPr/>
      </w:pPr>
      <w:r w:rsidDel="00000000" w:rsidR="00000000" w:rsidRPr="00000000">
        <w:rPr>
          <w:rtl w:val="0"/>
        </w:rPr>
      </w:r>
    </w:p>
    <w:p w:rsidR="00000000" w:rsidDel="00000000" w:rsidP="00000000" w:rsidRDefault="00000000" w:rsidRPr="00000000" w14:paraId="0000008A">
      <w:pPr>
        <w:spacing w:after="70" w:line="260" w:lineRule="auto"/>
        <w:rPr/>
      </w:pPr>
      <w:r w:rsidDel="00000000" w:rsidR="00000000" w:rsidRPr="00000000">
        <w:rPr>
          <w:rFonts w:ascii="Arial" w:cs="Arial" w:eastAsia="Arial" w:hAnsi="Arial"/>
          <w:b w:val="1"/>
          <w:bCs w:val="1"/>
          <w:color w:val="009463"/>
          <w:sz w:val="17"/>
          <w:szCs w:val="17"/>
          <w:rtl w:val="0"/>
        </w:rPr>
        <w:t xml:space="preserve">Need help implementing this policy</w:t>
      </w:r>
      <w:r w:rsidDel="00000000" w:rsidR="00000000" w:rsidRPr="00000000">
        <w:rPr>
          <w:rFonts w:ascii="Arial" w:cs="Arial" w:eastAsia="Arial" w:hAnsi="Arial"/>
          <w:b w:val="1"/>
          <w:bCs w:val="1"/>
          <w:color w:val="1b4f72"/>
          <w:sz w:val="17"/>
          <w:szCs w:val="17"/>
          <w:rtl w:val="0"/>
        </w:rPr>
        <w:t xml:space="preserve">? </w:t>
      </w:r>
      <w:r w:rsidDel="00000000" w:rsidR="00000000" w:rsidRPr="00000000">
        <w:rPr>
          <w:rFonts w:ascii="Arial" w:cs="Arial" w:eastAsia="Arial" w:hAnsi="Arial"/>
          <w:color w:val="1a1a2e"/>
          <w:sz w:val="17"/>
          <w:szCs w:val="17"/>
          <w:rtl w:val="0"/>
        </w:rPr>
        <w:t xml:space="preserve">HedgeFlows provides treasury advisory and technology for scaleup businesses — from cash segmentation and forecasting to FX risk management and banking optimisation.</w:t>
      </w:r>
      <w:r w:rsidDel="00000000" w:rsidR="00000000" w:rsidRPr="00000000">
        <w:rPr>
          <w:rtl w:val="0"/>
        </w:rPr>
      </w:r>
    </w:p>
    <w:p w:rsidR="00000000" w:rsidDel="00000000" w:rsidP="00000000" w:rsidRDefault="00000000" w:rsidRPr="00000000" w14:paraId="0000008B">
      <w:pPr>
        <w:spacing w:after="70" w:line="260" w:lineRule="auto"/>
        <w:rPr>
          <w:color w:val="009463"/>
        </w:rPr>
      </w:pPr>
      <w:r w:rsidDel="00000000" w:rsidR="00000000" w:rsidRPr="00000000">
        <w:rPr>
          <w:rFonts w:ascii="Arial" w:cs="Arial" w:eastAsia="Arial" w:hAnsi="Arial"/>
          <w:color w:val="009463"/>
          <w:sz w:val="17"/>
          <w:szCs w:val="17"/>
          <w:rtl w:val="0"/>
        </w:rPr>
        <w:t xml:space="preserve">alex@hedgeflows.com  |  neh@hedgeflows.com  |  www.hedgeflows.com</w:t>
      </w:r>
      <w:r w:rsidDel="00000000" w:rsidR="00000000" w:rsidRPr="00000000">
        <w:rPr>
          <w:rtl w:val="0"/>
        </w:rPr>
      </w:r>
    </w:p>
    <w:sectPr>
      <w:headerReference r:id="rId9" w:type="default"/>
      <w:footerReference r:id="rId10" w:type="default"/>
      <w:type w:val="nextPage"/>
      <w:pgSz w:h="16838" w:w="11906" w:orient="portrait"/>
      <w:pgMar w:bottom="1050" w:top="1150" w:left="1300" w:right="13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pPr>
    <w:r w:rsidDel="00000000" w:rsidR="00000000" w:rsidRPr="00000000">
      <w:rPr>
        <w:rFonts w:ascii="Arial" w:cs="Arial" w:eastAsia="Arial" w:hAnsi="Arial"/>
        <w:color w:val="5d6d7e"/>
        <w:sz w:val="15"/>
        <w:szCs w:val="15"/>
        <w:rtl w:val="0"/>
      </w:rPr>
      <w:t xml:space="preserve">Page </w:t>
    </w:r>
    <w:r w:rsidDel="00000000" w:rsidR="00000000" w:rsidRPr="00000000">
      <w:rPr>
        <w:rFonts w:ascii="Arial" w:cs="Arial" w:eastAsia="Arial" w:hAnsi="Arial"/>
        <w:color w:val="5d6d7e"/>
        <w:sz w:val="15"/>
        <w:szCs w:val="15"/>
      </w:rPr>
      <w:fldChar w:fldCharType="begin"/>
      <w:instrText xml:space="preserve">PAGE</w:instrText>
      <w:fldChar w:fldCharType="separate"/>
      <w:fldChar w:fldCharType="end"/>
    </w:r>
    <w:r w:rsidDel="00000000" w:rsidR="00000000" w:rsidRPr="00000000">
      <w:rPr>
        <w:rFonts w:ascii="Arial" w:cs="Arial" w:eastAsia="Arial" w:hAnsi="Arial"/>
        <w:color w:val="5d6d7e"/>
        <w:sz w:val="15"/>
        <w:szCs w:val="15"/>
        <w:rtl w:val="0"/>
      </w:rPr>
      <w:t xml:space="preserve">  |  Confidential</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color="009464" w:space="2" w:sz="4" w:val="single"/>
      </w:pBdr>
      <w:tabs>
        <w:tab w:val="center" w:leader="none" w:pos="4513"/>
        <w:tab w:val="right" w:leader="none" w:pos="9026"/>
      </w:tabs>
      <w:spacing w:before="360" w:lineRule="auto"/>
      <w:jc w:val="both"/>
      <w:rPr/>
    </w:pPr>
    <w:r w:rsidDel="00000000" w:rsidR="00000000" w:rsidRPr="00000000">
      <w:rPr>
        <w:rFonts w:ascii="Calibri" w:cs="Calibri" w:eastAsia="Calibri" w:hAnsi="Calibri"/>
        <w:i w:val="1"/>
        <w:iCs w:val="1"/>
        <w:color w:val="404040"/>
        <w:sz w:val="18"/>
        <w:szCs w:val="18"/>
        <w:rtl w:val="0"/>
      </w:rPr>
      <w:t xml:space="preserve">HedgeFlows Ltd, 4th Floor Tuition House 27-37 St George's Road, Wimbledon, London, England, SW19 4EU. Company registration number 12689184. Authorised by the FCA under FRN 1008699 under PSR 2017.</w:t>
    </w:r>
    <w:r w:rsidDel="00000000" w:rsidR="00000000" w:rsidRPr="00000000">
      <w:rPr>
        <w:rFonts w:ascii="Calibri" w:cs="Calibri" w:eastAsia="Calibri" w:hAnsi="Calibri"/>
        <w:color w:val="404040"/>
        <w:sz w:val="18"/>
        <w:szCs w:val="18"/>
        <w:rtl w:val="0"/>
      </w:rPr>
      <w:tab/>
    </w:r>
    <w:r w:rsidDel="00000000" w:rsidR="00000000" w:rsidRPr="00000000">
      <w:rPr>
        <w:rFonts w:ascii="Calibri" w:cs="Calibri" w:eastAsia="Calibri" w:hAnsi="Calibri"/>
        <w:color w:val="404040"/>
        <w:sz w:val="22"/>
        <w:szCs w:val="22"/>
        <w:rtl w:val="0"/>
      </w:rPr>
      <w:tab/>
      <w:tab/>
      <w:tab/>
      <w:tab/>
    </w:r>
    <w:r w:rsidDel="00000000" w:rsidR="00000000" w:rsidRPr="00000000">
      <w:rPr>
        <w:rFonts w:ascii="Calibri" w:cs="Calibri" w:eastAsia="Calibri" w:hAnsi="Calibri"/>
        <w:color w:val="404040"/>
        <w:sz w:val="18"/>
        <w:szCs w:val="18"/>
        <w:rtl w:val="0"/>
      </w:rPr>
      <w:t xml:space="preserve">Page </w:t>
    </w:r>
    <w:r w:rsidDel="00000000" w:rsidR="00000000" w:rsidRPr="00000000">
      <w:rPr>
        <w:rFonts w:ascii="Calibri" w:cs="Calibri" w:eastAsia="Calibri" w:hAnsi="Calibri"/>
        <w:color w:val="40404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04040"/>
        <w:sz w:val="18"/>
        <w:szCs w:val="18"/>
        <w:rtl w:val="0"/>
      </w:rPr>
      <w:t xml:space="preserve"> of </w:t>
    </w:r>
    <w:r w:rsidDel="00000000" w:rsidR="00000000" w:rsidRPr="00000000">
      <w:rPr>
        <w:rFonts w:ascii="Calibri" w:cs="Calibri" w:eastAsia="Calibri" w:hAnsi="Calibri"/>
        <w:color w:val="404040"/>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pPr>
    <w:r w:rsidDel="00000000" w:rsidR="00000000" w:rsidRPr="00000000">
      <w:rPr>
        <w:rFonts w:ascii="Arial" w:cs="Arial" w:eastAsia="Arial" w:hAnsi="Arial"/>
        <w:i w:val="1"/>
        <w:iCs w:val="1"/>
        <w:color w:val="5d6d7e"/>
        <w:sz w:val="15"/>
        <w:szCs w:val="15"/>
        <w:rtl w:val="0"/>
      </w:rPr>
      <w:t xml:space="preserve">Cash Management Policy  |  [Company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after="200" w:line="259" w:lineRule="auto"/>
      <w:jc w:val="center"/>
      <w:rPr/>
    </w:pPr>
    <w:r w:rsidDel="00000000" w:rsidR="00000000" w:rsidRPr="00000000">
      <w:rPr>
        <w:rFonts w:ascii="Times New Roman" w:cs="Times New Roman" w:eastAsia="Times New Roman" w:hAnsi="Times New Roman"/>
        <w:b w:val="1"/>
        <w:bCs w:val="1"/>
        <w:sz w:val="32"/>
        <w:szCs w:val="32"/>
      </w:rPr>
      <w:drawing>
        <wp:inline distB="114300" distT="114300" distL="114300" distR="114300">
          <wp:extent cx="1652588" cy="41595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2588" cy="41595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0" w:hanging="2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500" w:hanging="2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500" w:hanging="2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1b4f72"/>
      <w:sz w:val="25"/>
      <w:szCs w:val="25"/>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60" w:line="240" w:lineRule="auto"/>
      <w:ind w:left="0" w:right="0" w:firstLine="0"/>
      <w:jc w:val="left"/>
    </w:pPr>
    <w:rPr>
      <w:rFonts w:ascii="Arial" w:cs="Arial" w:eastAsia="Arial" w:hAnsi="Arial"/>
      <w:b w:val="1"/>
      <w:bCs w:val="1"/>
      <w:i w:val="0"/>
      <w:iCs w:val="0"/>
      <w:smallCaps w:val="0"/>
      <w:strike w:val="0"/>
      <w:color w:val="2e86c1"/>
      <w:sz w:val="21"/>
      <w:szCs w:val="21"/>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ujvdiWYByI4JMNfldOUBL8EIg==">CgMxLjA4AHIhMVBVZXgyenlJbjFndzNUMG5iX0k1OWs0Z3ZUdlNQSkU4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2026-02-09T20:02:50.565Z</dcterms:created>
  <dc:creator>Un-named</dc:creator>
</cp:coreProperties>
</file>

<file path=docProps/custom.xml><?xml version="1.0" encoding="utf-8"?>
<Properties xmlns="http://schemas.openxmlformats.org/officeDocument/2006/custom-properties" xmlns:vt="http://schemas.openxmlformats.org/officeDocument/2006/docPropsVTypes"/>
</file>