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0" w:lineRule="auto"/>
        <w:rPr/>
      </w:pPr>
      <w:r w:rsidDel="00000000" w:rsidR="00000000" w:rsidRPr="00000000">
        <w:rPr>
          <w:rtl w:val="0"/>
        </w:rPr>
      </w:r>
    </w:p>
    <w:p w:rsidR="00000000" w:rsidDel="00000000" w:rsidP="00000000" w:rsidRDefault="00000000" w:rsidRPr="00000000" w14:paraId="00000002">
      <w:pPr>
        <w:pBdr>
          <w:bottom w:color="009463" w:space="8" w:sz="6" w:val="single"/>
        </w:pBdr>
        <w:spacing w:after="0" w:lineRule="auto"/>
        <w:rPr/>
      </w:pPr>
      <w:r w:rsidDel="00000000" w:rsidR="00000000" w:rsidRPr="00000000">
        <w:rPr>
          <w:rFonts w:ascii="Arial" w:cs="Arial" w:eastAsia="Arial" w:hAnsi="Arial"/>
          <w:b w:val="1"/>
          <w:bCs w:val="1"/>
          <w:color w:val="009463"/>
          <w:sz w:val="56"/>
          <w:szCs w:val="56"/>
          <w:rtl w:val="0"/>
        </w:rPr>
        <w:t xml:space="preserve">FX Risk Management Policy</w:t>
      </w:r>
      <w:r w:rsidDel="00000000" w:rsidR="00000000" w:rsidRPr="00000000">
        <w:rPr>
          <w:rtl w:val="0"/>
        </w:rPr>
      </w:r>
    </w:p>
    <w:p w:rsidR="00000000" w:rsidDel="00000000" w:rsidP="00000000" w:rsidRDefault="00000000" w:rsidRPr="00000000" w14:paraId="00000003">
      <w:pPr>
        <w:spacing w:after="200" w:lineRule="auto"/>
        <w:rPr/>
      </w:pPr>
      <w:r w:rsidDel="00000000" w:rsidR="00000000" w:rsidRPr="00000000">
        <w:rPr>
          <w:rtl w:val="0"/>
        </w:rPr>
      </w:r>
    </w:p>
    <w:p w:rsidR="00000000" w:rsidDel="00000000" w:rsidP="00000000" w:rsidRDefault="00000000" w:rsidRPr="00000000" w14:paraId="00000004">
      <w:pPr>
        <w:spacing w:after="60" w:lineRule="auto"/>
        <w:rPr/>
      </w:pPr>
      <w:r w:rsidDel="00000000" w:rsidR="00000000" w:rsidRPr="00000000">
        <w:rPr>
          <w:rFonts w:ascii="Arial" w:cs="Arial" w:eastAsia="Arial" w:hAnsi="Arial"/>
          <w:color w:val="009463"/>
          <w:sz w:val="30"/>
          <w:szCs w:val="30"/>
          <w:rtl w:val="0"/>
        </w:rPr>
        <w:t xml:space="preserve">Template for Scaleup Businesses</w:t>
      </w:r>
      <w:r w:rsidDel="00000000" w:rsidR="00000000" w:rsidRPr="00000000">
        <w:rPr>
          <w:rtl w:val="0"/>
        </w:rPr>
      </w:r>
    </w:p>
    <w:p w:rsidR="00000000" w:rsidDel="00000000" w:rsidP="00000000" w:rsidRDefault="00000000" w:rsidRPr="00000000" w14:paraId="00000005">
      <w:pPr>
        <w:spacing w:after="60" w:lineRule="auto"/>
        <w:rPr/>
      </w:pPr>
      <w:r w:rsidDel="00000000" w:rsidR="00000000" w:rsidRPr="00000000">
        <w:rPr>
          <w:rFonts w:ascii="Arial" w:cs="Arial" w:eastAsia="Arial" w:hAnsi="Arial"/>
          <w:color w:val="5d6d7e"/>
          <w:sz w:val="22"/>
          <w:szCs w:val="22"/>
          <w:rtl w:val="0"/>
        </w:rPr>
        <w:t xml:space="preserve">Managing currency exposure  |  Protecting margins and cash flows</w:t>
      </w:r>
      <w:r w:rsidDel="00000000" w:rsidR="00000000" w:rsidRPr="00000000">
        <w:rPr>
          <w:rtl w:val="0"/>
        </w:rPr>
      </w:r>
    </w:p>
    <w:p w:rsidR="00000000" w:rsidDel="00000000" w:rsidP="00000000" w:rsidRDefault="00000000" w:rsidRPr="00000000" w14:paraId="00000006">
      <w:pPr>
        <w:spacing w:after="600" w:lineRule="auto"/>
        <w:rPr/>
      </w:pPr>
      <w:r w:rsidDel="00000000" w:rsidR="00000000" w:rsidRPr="00000000">
        <w:rPr>
          <w:rtl w:val="0"/>
        </w:rPr>
      </w:r>
    </w:p>
    <w:tbl>
      <w:tblPr>
        <w:tblStyle w:val="Table1"/>
        <w:tblW w:w="68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45"/>
        <w:gridCol w:w="4125"/>
        <w:tblGridChange w:id="0">
          <w:tblGrid>
            <w:gridCol w:w="2745"/>
            <w:gridCol w:w="412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30.0" w:type="dxa"/>
              <w:left w:w="0.0" w:type="dxa"/>
              <w:bottom w:w="30.0" w:type="dxa"/>
              <w:right w:w="80.0" w:type="dxa"/>
            </w:tcMar>
          </w:tcPr>
          <w:p w:rsidR="00000000" w:rsidDel="00000000" w:rsidP="00000000" w:rsidRDefault="00000000" w:rsidRPr="00000000" w14:paraId="00000007">
            <w:pPr>
              <w:rPr/>
            </w:pPr>
            <w:r w:rsidDel="00000000" w:rsidR="00000000" w:rsidRPr="00000000">
              <w:rPr>
                <w:rFonts w:ascii="Arial" w:cs="Arial" w:eastAsia="Arial" w:hAnsi="Arial"/>
                <w:b w:val="1"/>
                <w:bCs w:val="1"/>
                <w:color w:val="5d6d7e"/>
                <w:sz w:val="20"/>
                <w:szCs w:val="20"/>
                <w:rtl w:val="0"/>
              </w:rPr>
              <w:t xml:space="preserve">Company Name:</w:t>
            </w:r>
            <w:r w:rsidDel="00000000" w:rsidR="00000000" w:rsidRPr="00000000">
              <w:rPr>
                <w:rtl w:val="0"/>
              </w:rPr>
            </w:r>
          </w:p>
        </w:tc>
        <w:tc>
          <w:tcPr>
            <w:tcBorders>
              <w:top w:color="000000" w:space="0" w:sz="0" w:val="nil"/>
              <w:left w:color="000000" w:space="0" w:sz="0" w:val="nil"/>
              <w:bottom w:color="bdc3c7" w:space="0" w:sz="4" w:val="single"/>
              <w:right w:color="000000" w:space="0" w:sz="0" w:val="nil"/>
            </w:tcBorders>
            <w:tcMar>
              <w:top w:w="30.0" w:type="dxa"/>
              <w:left w:w="60.0" w:type="dxa"/>
              <w:bottom w:w="30.0" w:type="dxa"/>
              <w:right w:w="0.0" w:type="dxa"/>
            </w:tcMar>
          </w:tcPr>
          <w:p w:rsidR="00000000" w:rsidDel="00000000" w:rsidP="00000000" w:rsidRDefault="00000000" w:rsidRPr="00000000" w14:paraId="00000008">
            <w:pPr>
              <w:rPr/>
            </w:pPr>
            <w:r w:rsidDel="00000000" w:rsidR="00000000" w:rsidRPr="00000000">
              <w:rPr>
                <w:rFonts w:ascii="Arial" w:cs="Arial" w:eastAsia="Arial" w:hAnsi="Arial"/>
                <w:i w:val="1"/>
                <w:iCs w:val="1"/>
                <w:color w:val="5d6d7e"/>
                <w:sz w:val="20"/>
                <w:szCs w:val="20"/>
                <w:rtl w:val="0"/>
              </w:rPr>
              <w:t xml:space="preserve">[                    ]</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30.0" w:type="dxa"/>
              <w:left w:w="0.0" w:type="dxa"/>
              <w:bottom w:w="30.0" w:type="dxa"/>
              <w:right w:w="80.0" w:type="dxa"/>
            </w:tcMar>
          </w:tcPr>
          <w:p w:rsidR="00000000" w:rsidDel="00000000" w:rsidP="00000000" w:rsidRDefault="00000000" w:rsidRPr="00000000" w14:paraId="00000009">
            <w:pPr>
              <w:rPr/>
            </w:pPr>
            <w:r w:rsidDel="00000000" w:rsidR="00000000" w:rsidRPr="00000000">
              <w:rPr>
                <w:rFonts w:ascii="Arial" w:cs="Arial" w:eastAsia="Arial" w:hAnsi="Arial"/>
                <w:b w:val="1"/>
                <w:bCs w:val="1"/>
                <w:color w:val="5d6d7e"/>
                <w:sz w:val="20"/>
                <w:szCs w:val="20"/>
                <w:rtl w:val="0"/>
              </w:rPr>
              <w:t xml:space="preserve">Functional Currency:</w:t>
            </w:r>
            <w:r w:rsidDel="00000000" w:rsidR="00000000" w:rsidRPr="00000000">
              <w:rPr>
                <w:rtl w:val="0"/>
              </w:rPr>
            </w:r>
          </w:p>
        </w:tc>
        <w:tc>
          <w:tcPr>
            <w:tcBorders>
              <w:top w:color="000000" w:space="0" w:sz="0" w:val="nil"/>
              <w:left w:color="000000" w:space="0" w:sz="0" w:val="nil"/>
              <w:bottom w:color="bdc3c7" w:space="0" w:sz="4" w:val="single"/>
              <w:right w:color="000000" w:space="0" w:sz="0" w:val="nil"/>
            </w:tcBorders>
            <w:tcMar>
              <w:top w:w="30.0" w:type="dxa"/>
              <w:left w:w="60.0" w:type="dxa"/>
              <w:bottom w:w="30.0" w:type="dxa"/>
              <w:right w:w="0.0" w:type="dxa"/>
            </w:tcMar>
          </w:tcPr>
          <w:p w:rsidR="00000000" w:rsidDel="00000000" w:rsidP="00000000" w:rsidRDefault="00000000" w:rsidRPr="00000000" w14:paraId="0000000A">
            <w:pPr>
              <w:rPr/>
            </w:pPr>
            <w:r w:rsidDel="00000000" w:rsidR="00000000" w:rsidRPr="00000000">
              <w:rPr>
                <w:rFonts w:ascii="Arial" w:cs="Arial" w:eastAsia="Arial" w:hAnsi="Arial"/>
                <w:i w:val="1"/>
                <w:iCs w:val="1"/>
                <w:color w:val="5d6d7e"/>
                <w:sz w:val="20"/>
                <w:szCs w:val="20"/>
                <w:rtl w:val="0"/>
              </w:rPr>
              <w:t xml:space="preserve">[                    ]</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30.0" w:type="dxa"/>
              <w:left w:w="0.0" w:type="dxa"/>
              <w:bottom w:w="30.0" w:type="dxa"/>
              <w:right w:w="80.0" w:type="dxa"/>
            </w:tcMar>
          </w:tcPr>
          <w:p w:rsidR="00000000" w:rsidDel="00000000" w:rsidP="00000000" w:rsidRDefault="00000000" w:rsidRPr="00000000" w14:paraId="0000000B">
            <w:pPr>
              <w:rPr/>
            </w:pPr>
            <w:r w:rsidDel="00000000" w:rsidR="00000000" w:rsidRPr="00000000">
              <w:rPr>
                <w:rFonts w:ascii="Arial" w:cs="Arial" w:eastAsia="Arial" w:hAnsi="Arial"/>
                <w:b w:val="1"/>
                <w:bCs w:val="1"/>
                <w:color w:val="5d6d7e"/>
                <w:sz w:val="20"/>
                <w:szCs w:val="20"/>
                <w:rtl w:val="0"/>
              </w:rPr>
              <w:t xml:space="preserve">Effective Date:</w:t>
            </w:r>
            <w:r w:rsidDel="00000000" w:rsidR="00000000" w:rsidRPr="00000000">
              <w:rPr>
                <w:rtl w:val="0"/>
              </w:rPr>
            </w:r>
          </w:p>
        </w:tc>
        <w:tc>
          <w:tcPr>
            <w:tcBorders>
              <w:top w:color="000000" w:space="0" w:sz="0" w:val="nil"/>
              <w:left w:color="000000" w:space="0" w:sz="0" w:val="nil"/>
              <w:bottom w:color="bdc3c7" w:space="0" w:sz="4" w:val="single"/>
              <w:right w:color="000000" w:space="0" w:sz="0" w:val="nil"/>
            </w:tcBorders>
            <w:tcMar>
              <w:top w:w="30.0" w:type="dxa"/>
              <w:left w:w="60.0" w:type="dxa"/>
              <w:bottom w:w="30.0" w:type="dxa"/>
              <w:right w:w="0.0" w:type="dxa"/>
            </w:tcMar>
          </w:tcPr>
          <w:p w:rsidR="00000000" w:rsidDel="00000000" w:rsidP="00000000" w:rsidRDefault="00000000" w:rsidRPr="00000000" w14:paraId="0000000C">
            <w:pPr>
              <w:rPr/>
            </w:pPr>
            <w:r w:rsidDel="00000000" w:rsidR="00000000" w:rsidRPr="00000000">
              <w:rPr>
                <w:rFonts w:ascii="Arial" w:cs="Arial" w:eastAsia="Arial" w:hAnsi="Arial"/>
                <w:i w:val="1"/>
                <w:iCs w:val="1"/>
                <w:color w:val="5d6d7e"/>
                <w:sz w:val="20"/>
                <w:szCs w:val="20"/>
                <w:rtl w:val="0"/>
              </w:rPr>
              <w:t xml:space="preserve">[                    ]</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30.0" w:type="dxa"/>
              <w:left w:w="0.0" w:type="dxa"/>
              <w:bottom w:w="30.0" w:type="dxa"/>
              <w:right w:w="80.0" w:type="dxa"/>
            </w:tcMar>
          </w:tcPr>
          <w:p w:rsidR="00000000" w:rsidDel="00000000" w:rsidP="00000000" w:rsidRDefault="00000000" w:rsidRPr="00000000" w14:paraId="0000000D">
            <w:pPr>
              <w:rPr/>
            </w:pPr>
            <w:r w:rsidDel="00000000" w:rsidR="00000000" w:rsidRPr="00000000">
              <w:rPr>
                <w:rFonts w:ascii="Arial" w:cs="Arial" w:eastAsia="Arial" w:hAnsi="Arial"/>
                <w:b w:val="1"/>
                <w:bCs w:val="1"/>
                <w:color w:val="5d6d7e"/>
                <w:sz w:val="20"/>
                <w:szCs w:val="20"/>
                <w:rtl w:val="0"/>
              </w:rPr>
              <w:t xml:space="preserve">Approved By:</w:t>
            </w:r>
            <w:r w:rsidDel="00000000" w:rsidR="00000000" w:rsidRPr="00000000">
              <w:rPr>
                <w:rtl w:val="0"/>
              </w:rPr>
            </w:r>
          </w:p>
        </w:tc>
        <w:tc>
          <w:tcPr>
            <w:tcBorders>
              <w:top w:color="000000" w:space="0" w:sz="0" w:val="nil"/>
              <w:left w:color="000000" w:space="0" w:sz="0" w:val="nil"/>
              <w:bottom w:color="bdc3c7" w:space="0" w:sz="4" w:val="single"/>
              <w:right w:color="000000" w:space="0" w:sz="0" w:val="nil"/>
            </w:tcBorders>
            <w:tcMar>
              <w:top w:w="30.0" w:type="dxa"/>
              <w:left w:w="60.0" w:type="dxa"/>
              <w:bottom w:w="30.0" w:type="dxa"/>
              <w:right w:w="0.0" w:type="dxa"/>
            </w:tcMar>
          </w:tcPr>
          <w:p w:rsidR="00000000" w:rsidDel="00000000" w:rsidP="00000000" w:rsidRDefault="00000000" w:rsidRPr="00000000" w14:paraId="0000000E">
            <w:pPr>
              <w:rPr/>
            </w:pPr>
            <w:r w:rsidDel="00000000" w:rsidR="00000000" w:rsidRPr="00000000">
              <w:rPr>
                <w:rFonts w:ascii="Arial" w:cs="Arial" w:eastAsia="Arial" w:hAnsi="Arial"/>
                <w:i w:val="1"/>
                <w:iCs w:val="1"/>
                <w:color w:val="5d6d7e"/>
                <w:sz w:val="20"/>
                <w:szCs w:val="20"/>
                <w:rtl w:val="0"/>
              </w:rPr>
              <w:t xml:space="preserve">[                    ]</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30.0" w:type="dxa"/>
              <w:left w:w="0.0" w:type="dxa"/>
              <w:bottom w:w="30.0" w:type="dxa"/>
              <w:right w:w="80.0" w:type="dxa"/>
            </w:tcMar>
          </w:tcPr>
          <w:p w:rsidR="00000000" w:rsidDel="00000000" w:rsidP="00000000" w:rsidRDefault="00000000" w:rsidRPr="00000000" w14:paraId="0000000F">
            <w:pPr>
              <w:rPr/>
            </w:pPr>
            <w:r w:rsidDel="00000000" w:rsidR="00000000" w:rsidRPr="00000000">
              <w:rPr>
                <w:rFonts w:ascii="Arial" w:cs="Arial" w:eastAsia="Arial" w:hAnsi="Arial"/>
                <w:b w:val="1"/>
                <w:bCs w:val="1"/>
                <w:color w:val="5d6d7e"/>
                <w:sz w:val="20"/>
                <w:szCs w:val="20"/>
                <w:rtl w:val="0"/>
              </w:rPr>
              <w:t xml:space="preserve">Next Review:</w:t>
            </w:r>
            <w:r w:rsidDel="00000000" w:rsidR="00000000" w:rsidRPr="00000000">
              <w:rPr>
                <w:rtl w:val="0"/>
              </w:rPr>
            </w:r>
          </w:p>
        </w:tc>
        <w:tc>
          <w:tcPr>
            <w:tcBorders>
              <w:top w:color="000000" w:space="0" w:sz="0" w:val="nil"/>
              <w:left w:color="000000" w:space="0" w:sz="0" w:val="nil"/>
              <w:bottom w:color="bdc3c7" w:space="0" w:sz="4" w:val="single"/>
              <w:right w:color="000000" w:space="0" w:sz="0" w:val="nil"/>
            </w:tcBorders>
            <w:tcMar>
              <w:top w:w="30.0" w:type="dxa"/>
              <w:left w:w="60.0" w:type="dxa"/>
              <w:bottom w:w="30.0" w:type="dxa"/>
              <w:right w:w="0.0" w:type="dxa"/>
            </w:tcMar>
          </w:tcPr>
          <w:p w:rsidR="00000000" w:rsidDel="00000000" w:rsidP="00000000" w:rsidRDefault="00000000" w:rsidRPr="00000000" w14:paraId="00000010">
            <w:pPr>
              <w:rPr/>
            </w:pPr>
            <w:r w:rsidDel="00000000" w:rsidR="00000000" w:rsidRPr="00000000">
              <w:rPr>
                <w:rFonts w:ascii="Arial" w:cs="Arial" w:eastAsia="Arial" w:hAnsi="Arial"/>
                <w:i w:val="1"/>
                <w:iCs w:val="1"/>
                <w:color w:val="5d6d7e"/>
                <w:sz w:val="20"/>
                <w:szCs w:val="20"/>
                <w:rtl w:val="0"/>
              </w:rPr>
              <w:t xml:space="preserve">[                    ]</w:t>
            </w:r>
            <w:r w:rsidDel="00000000" w:rsidR="00000000" w:rsidRPr="00000000">
              <w:rPr>
                <w:rtl w:val="0"/>
              </w:rPr>
            </w:r>
          </w:p>
        </w:tc>
      </w:tr>
    </w:tbl>
    <w:p w:rsidR="00000000" w:rsidDel="00000000" w:rsidP="00000000" w:rsidRDefault="00000000" w:rsidRPr="00000000" w14:paraId="00000011">
      <w:pPr>
        <w:spacing w:after="1200" w:lineRule="auto"/>
        <w:rPr/>
      </w:pPr>
      <w:r w:rsidDel="00000000" w:rsidR="00000000" w:rsidRPr="00000000">
        <w:rPr>
          <w:rtl w:val="0"/>
        </w:rPr>
      </w:r>
    </w:p>
    <w:p w:rsidR="00000000" w:rsidDel="00000000" w:rsidP="00000000" w:rsidRDefault="00000000" w:rsidRPr="00000000" w14:paraId="00000012">
      <w:pPr>
        <w:spacing w:after="30" w:lineRule="auto"/>
        <w:rPr/>
      </w:pPr>
      <w:r w:rsidDel="00000000" w:rsidR="00000000" w:rsidRPr="00000000">
        <w:rPr>
          <w:rFonts w:ascii="Arial" w:cs="Arial" w:eastAsia="Arial" w:hAnsi="Arial"/>
          <w:color w:val="5d6d7e"/>
          <w:sz w:val="17"/>
          <w:szCs w:val="17"/>
          <w:rtl w:val="0"/>
        </w:rPr>
        <w:t xml:space="preserve">Prepared with guidance from</w:t>
      </w:r>
      <w:r w:rsidDel="00000000" w:rsidR="00000000" w:rsidRPr="00000000">
        <w:rPr>
          <w:rtl w:val="0"/>
        </w:rPr>
      </w:r>
    </w:p>
    <w:p w:rsidR="00000000" w:rsidDel="00000000" w:rsidP="00000000" w:rsidRDefault="00000000" w:rsidRPr="00000000" w14:paraId="00000013">
      <w:pPr>
        <w:spacing w:after="30" w:lineRule="auto"/>
        <w:rPr/>
      </w:pPr>
      <w:r w:rsidDel="00000000" w:rsidR="00000000" w:rsidRPr="00000000">
        <w:rPr>
          <w:rFonts w:ascii="Arial" w:cs="Arial" w:eastAsia="Arial" w:hAnsi="Arial"/>
          <w:b w:val="1"/>
          <w:bCs w:val="1"/>
          <w:color w:val="009463"/>
          <w:sz w:val="20"/>
          <w:szCs w:val="20"/>
          <w:rtl w:val="0"/>
        </w:rPr>
        <w:t xml:space="preserve">HedgeFlows Treasury Advisory</w:t>
      </w:r>
      <w:r w:rsidDel="00000000" w:rsidR="00000000" w:rsidRPr="00000000">
        <w:rPr>
          <w:rtl w:val="0"/>
        </w:rPr>
      </w:r>
    </w:p>
    <w:p w:rsidR="00000000" w:rsidDel="00000000" w:rsidP="00000000" w:rsidRDefault="00000000" w:rsidRPr="00000000" w14:paraId="00000014">
      <w:pPr>
        <w:rPr/>
        <w:sectPr>
          <w:headerReference r:id="rId7" w:type="default"/>
          <w:footerReference r:id="rId8" w:type="default"/>
          <w:pgSz w:h="16838" w:w="11906" w:orient="portrait"/>
          <w:pgMar w:bottom="1440" w:top="1440" w:left="1440" w:right="1440" w:header="708" w:footer="708"/>
          <w:pgNumType w:start="1"/>
        </w:sectPr>
      </w:pPr>
      <w:r w:rsidDel="00000000" w:rsidR="00000000" w:rsidRPr="00000000">
        <w:rPr>
          <w:rFonts w:ascii="Arial" w:cs="Arial" w:eastAsia="Arial" w:hAnsi="Arial"/>
          <w:color w:val="5d6d7e"/>
          <w:sz w:val="17"/>
          <w:szCs w:val="17"/>
          <w:rtl w:val="0"/>
        </w:rPr>
        <w:t xml:space="preserve">www.hedgeflows.com</w:t>
      </w:r>
      <w:r w:rsidDel="00000000" w:rsidR="00000000" w:rsidRPr="00000000">
        <w:rPr>
          <w:rtl w:val="0"/>
        </w:rPr>
      </w:r>
    </w:p>
    <w:p w:rsidR="00000000" w:rsidDel="00000000" w:rsidP="00000000" w:rsidRDefault="00000000" w:rsidRPr="00000000" w14:paraId="00000015">
      <w:pPr>
        <w:pStyle w:val="Heading1"/>
        <w:spacing w:after="80" w:before="240" w:lineRule="auto"/>
        <w:rPr/>
      </w:pPr>
      <w:r w:rsidDel="00000000" w:rsidR="00000000" w:rsidRPr="00000000">
        <w:rPr>
          <w:rFonts w:ascii="Arial" w:cs="Arial" w:eastAsia="Arial" w:hAnsi="Arial"/>
          <w:b w:val="1"/>
          <w:bCs w:val="1"/>
          <w:color w:val="009463"/>
          <w:sz w:val="25"/>
          <w:szCs w:val="25"/>
          <w:rtl w:val="0"/>
        </w:rPr>
        <w:t xml:space="preserve">1. Purpose, Scope and Objectives</w:t>
      </w:r>
      <w:r w:rsidDel="00000000" w:rsidR="00000000" w:rsidRPr="00000000">
        <w:rPr>
          <w:rtl w:val="0"/>
        </w:rPr>
      </w:r>
    </w:p>
    <w:p w:rsidR="00000000" w:rsidDel="00000000" w:rsidP="00000000" w:rsidRDefault="00000000" w:rsidRPr="00000000" w14:paraId="00000016">
      <w:pPr>
        <w:spacing w:after="70" w:line="260" w:lineRule="auto"/>
        <w:rPr/>
      </w:pPr>
      <w:r w:rsidDel="00000000" w:rsidR="00000000" w:rsidRPr="00000000">
        <w:rPr>
          <w:rFonts w:ascii="Arial" w:cs="Arial" w:eastAsia="Arial" w:hAnsi="Arial"/>
          <w:color w:val="1a1a2e"/>
          <w:sz w:val="19"/>
          <w:szCs w:val="19"/>
          <w:rtl w:val="0"/>
        </w:rPr>
        <w:t xml:space="preserve">This policy defines </w:t>
      </w:r>
      <w:r w:rsidDel="00000000" w:rsidR="00000000" w:rsidRPr="00000000">
        <w:rPr>
          <w:rFonts w:ascii="Arial" w:cs="Arial" w:eastAsia="Arial" w:hAnsi="Arial"/>
          <w:color w:val="1a1a2e"/>
          <w:sz w:val="19"/>
          <w:szCs w:val="19"/>
          <w:highlight w:val="yellow"/>
          <w:rtl w:val="0"/>
        </w:rPr>
        <w:t xml:space="preserve">[Company Name]</w:t>
      </w:r>
      <w:r w:rsidDel="00000000" w:rsidR="00000000" w:rsidRPr="00000000">
        <w:rPr>
          <w:rFonts w:ascii="Arial" w:cs="Arial" w:eastAsia="Arial" w:hAnsi="Arial"/>
          <w:color w:val="1a1a2e"/>
          <w:sz w:val="19"/>
          <w:szCs w:val="19"/>
          <w:rtl w:val="0"/>
        </w:rPr>
        <w:t xml:space="preserve">’s approach to identifying, measuring, and managing foreign currency exposures and their potential impact on earnings, cash flows, and balance sheet values. It establishes the principles, limits, and governance framework within which FX risk is managed, and should be read alongside the company’s Cash Management Policy.</w:t>
      </w:r>
      <w:r w:rsidDel="00000000" w:rsidR="00000000" w:rsidRPr="00000000">
        <w:rPr>
          <w:rtl w:val="0"/>
        </w:rPr>
      </w:r>
    </w:p>
    <w:p w:rsidR="00000000" w:rsidDel="00000000" w:rsidP="00000000" w:rsidRDefault="00000000" w:rsidRPr="00000000" w14:paraId="00000017">
      <w:pPr>
        <w:spacing w:after="20" w:lineRule="auto"/>
        <w:rPr/>
      </w:pPr>
      <w:r w:rsidDel="00000000" w:rsidR="00000000" w:rsidRPr="00000000">
        <w:rPr>
          <w:rtl w:val="0"/>
        </w:rPr>
      </w:r>
    </w:p>
    <w:p w:rsidR="00000000" w:rsidDel="00000000" w:rsidP="00000000" w:rsidRDefault="00000000" w:rsidRPr="00000000" w14:paraId="00000018">
      <w:pPr>
        <w:spacing w:after="70" w:line="260" w:lineRule="auto"/>
        <w:rPr/>
      </w:pPr>
      <w:r w:rsidDel="00000000" w:rsidR="00000000" w:rsidRPr="00000000">
        <w:rPr>
          <w:rFonts w:ascii="Arial" w:cs="Arial" w:eastAsia="Arial" w:hAnsi="Arial"/>
          <w:b w:val="1"/>
          <w:bCs w:val="1"/>
          <w:color w:val="1a1a2e"/>
          <w:sz w:val="19"/>
          <w:szCs w:val="19"/>
          <w:rtl w:val="0"/>
        </w:rPr>
        <w:t xml:space="preserve">Objectives </w:t>
      </w:r>
      <w:r w:rsidDel="00000000" w:rsidR="00000000" w:rsidRPr="00000000">
        <w:rPr>
          <w:rFonts w:ascii="Arial" w:cs="Arial" w:eastAsia="Arial" w:hAnsi="Arial"/>
          <w:color w:val="1a1a2e"/>
          <w:sz w:val="19"/>
          <w:szCs w:val="19"/>
          <w:rtl w:val="0"/>
        </w:rPr>
        <w:t xml:space="preserve">(in priority order): (i) reduce the impact of FX fluctuations on the </w:t>
      </w:r>
      <w:r w:rsidDel="00000000" w:rsidR="00000000" w:rsidRPr="00000000">
        <w:rPr>
          <w:rFonts w:ascii="Arial" w:cs="Arial" w:eastAsia="Arial" w:hAnsi="Arial"/>
          <w:color w:val="1a1a2e"/>
          <w:sz w:val="19"/>
          <w:szCs w:val="19"/>
          <w:highlight w:val="yellow"/>
          <w:rtl w:val="0"/>
        </w:rPr>
        <w:t xml:space="preserve">[functional currency]</w:t>
      </w:r>
      <w:r w:rsidDel="00000000" w:rsidR="00000000" w:rsidRPr="00000000">
        <w:rPr>
          <w:rFonts w:ascii="Arial" w:cs="Arial" w:eastAsia="Arial" w:hAnsi="Arial"/>
          <w:color w:val="1a1a2e"/>
          <w:sz w:val="19"/>
          <w:szCs w:val="19"/>
          <w:rtl w:val="0"/>
        </w:rPr>
        <w:t xml:space="preserve"> value of committed and highly probable cash flows; (ii) protect budget rates and commercial margins from adverse currency movements; (iii) minimise reported earnings volatility arising from re-measurement of monetary assets and liabilities; (iv) achieve the above without exposing the company to undue cost, complexity, or counterparty risk.</w:t>
      </w:r>
      <w:r w:rsidDel="00000000" w:rsidR="00000000" w:rsidRPr="00000000">
        <w:rPr>
          <w:rtl w:val="0"/>
        </w:rPr>
      </w:r>
    </w:p>
    <w:p w:rsidR="00000000" w:rsidDel="00000000" w:rsidP="00000000" w:rsidRDefault="00000000" w:rsidRPr="00000000" w14:paraId="00000019">
      <w:pPr>
        <w:spacing w:after="20" w:lineRule="auto"/>
        <w:rPr/>
      </w:pPr>
      <w:r w:rsidDel="00000000" w:rsidR="00000000" w:rsidRPr="00000000">
        <w:rPr>
          <w:rtl w:val="0"/>
        </w:rPr>
      </w:r>
    </w:p>
    <w:p w:rsidR="00000000" w:rsidDel="00000000" w:rsidP="00000000" w:rsidRDefault="00000000" w:rsidRPr="00000000" w14:paraId="0000001A">
      <w:pPr>
        <w:spacing w:after="70" w:line="260" w:lineRule="auto"/>
        <w:rPr/>
      </w:pPr>
      <w:r w:rsidDel="00000000" w:rsidR="00000000" w:rsidRPr="00000000">
        <w:rPr>
          <w:rFonts w:ascii="Arial" w:cs="Arial" w:eastAsia="Arial" w:hAnsi="Arial"/>
          <w:b w:val="1"/>
          <w:bCs w:val="1"/>
          <w:color w:val="1a1a2e"/>
          <w:sz w:val="19"/>
          <w:szCs w:val="19"/>
          <w:rtl w:val="0"/>
        </w:rPr>
        <w:t xml:space="preserve">Scope. </w:t>
      </w:r>
      <w:r w:rsidDel="00000000" w:rsidR="00000000" w:rsidRPr="00000000">
        <w:rPr>
          <w:rFonts w:ascii="Arial" w:cs="Arial" w:eastAsia="Arial" w:hAnsi="Arial"/>
          <w:color w:val="1a1a2e"/>
          <w:sz w:val="19"/>
          <w:szCs w:val="19"/>
          <w:rtl w:val="0"/>
        </w:rPr>
        <w:t xml:space="preserve">This policy applies to </w:t>
      </w:r>
      <w:r w:rsidDel="00000000" w:rsidR="00000000" w:rsidRPr="00000000">
        <w:rPr>
          <w:rFonts w:ascii="Arial" w:cs="Arial" w:eastAsia="Arial" w:hAnsi="Arial"/>
          <w:color w:val="1a1a2e"/>
          <w:sz w:val="19"/>
          <w:szCs w:val="19"/>
          <w:highlight w:val="yellow"/>
          <w:rtl w:val="0"/>
        </w:rPr>
        <w:t xml:space="preserve">[Company Name]</w:t>
      </w:r>
      <w:r w:rsidDel="00000000" w:rsidR="00000000" w:rsidRPr="00000000">
        <w:rPr>
          <w:rFonts w:ascii="Arial" w:cs="Arial" w:eastAsia="Arial" w:hAnsi="Arial"/>
          <w:color w:val="1a1a2e"/>
          <w:sz w:val="19"/>
          <w:szCs w:val="19"/>
          <w:rtl w:val="0"/>
        </w:rPr>
        <w:t xml:space="preserve"> and its subsidiaries. It covers all transactional FX exposures (revenue, costs, and settlement of receivables/payables in non-functional currencies) and, where material, translational exposures arising from consolidation of foreign-currency subsidiaries. It does not cover economic/competitive exposure, which is addressed through commercial strategy.</w:t>
      </w:r>
      <w:r w:rsidDel="00000000" w:rsidR="00000000" w:rsidRPr="00000000">
        <w:rPr>
          <w:rtl w:val="0"/>
        </w:rPr>
      </w:r>
    </w:p>
    <w:p w:rsidR="00000000" w:rsidDel="00000000" w:rsidP="00000000" w:rsidRDefault="00000000" w:rsidRPr="00000000" w14:paraId="0000001B">
      <w:pPr>
        <w:spacing w:after="20" w:lineRule="auto"/>
        <w:rPr/>
      </w:pPr>
      <w:r w:rsidDel="00000000" w:rsidR="00000000" w:rsidRPr="00000000">
        <w:rPr>
          <w:rtl w:val="0"/>
        </w:rPr>
      </w:r>
    </w:p>
    <w:p w:rsidR="00000000" w:rsidDel="00000000" w:rsidP="00000000" w:rsidRDefault="00000000" w:rsidRPr="00000000" w14:paraId="0000001C">
      <w:pPr>
        <w:spacing w:after="70" w:line="260" w:lineRule="auto"/>
        <w:rPr/>
      </w:pPr>
      <w:r w:rsidDel="00000000" w:rsidR="00000000" w:rsidRPr="00000000">
        <w:rPr>
          <w:rFonts w:ascii="Arial" w:cs="Arial" w:eastAsia="Arial" w:hAnsi="Arial"/>
          <w:b w:val="1"/>
          <w:bCs w:val="1"/>
          <w:color w:val="1a1a2e"/>
          <w:sz w:val="19"/>
          <w:szCs w:val="19"/>
          <w:rtl w:val="0"/>
        </w:rPr>
        <w:t xml:space="preserve">Ownership and review. </w:t>
      </w:r>
      <w:r w:rsidDel="00000000" w:rsidR="00000000" w:rsidRPr="00000000">
        <w:rPr>
          <w:rFonts w:ascii="Arial" w:cs="Arial" w:eastAsia="Arial" w:hAnsi="Arial"/>
          <w:color w:val="1a1a2e"/>
          <w:sz w:val="19"/>
          <w:szCs w:val="19"/>
          <w:rtl w:val="0"/>
        </w:rPr>
        <w:t xml:space="preserve">The </w:t>
      </w:r>
      <w:r w:rsidDel="00000000" w:rsidR="00000000" w:rsidRPr="00000000">
        <w:rPr>
          <w:rFonts w:ascii="Arial" w:cs="Arial" w:eastAsia="Arial" w:hAnsi="Arial"/>
          <w:color w:val="1a1a2e"/>
          <w:sz w:val="19"/>
          <w:szCs w:val="19"/>
          <w:highlight w:val="yellow"/>
          <w:rtl w:val="0"/>
        </w:rPr>
        <w:t xml:space="preserve">[CFO/Board/Risk Committee]</w:t>
      </w:r>
      <w:r w:rsidDel="00000000" w:rsidR="00000000" w:rsidRPr="00000000">
        <w:rPr>
          <w:rFonts w:ascii="Arial" w:cs="Arial" w:eastAsia="Arial" w:hAnsi="Arial"/>
          <w:color w:val="1a1a2e"/>
          <w:sz w:val="19"/>
          <w:szCs w:val="19"/>
          <w:rtl w:val="0"/>
        </w:rPr>
        <w:t xml:space="preserve"> is the policy owner. The policy shall be reviewed and re-approved annually, or sooner if triggered by: a material change in the company’s currency exposure profile, entry into a new market or currency, a change in hedging counterparty, or a significant shift in FX market conditions.</w:t>
      </w:r>
      <w:r w:rsidDel="00000000" w:rsidR="00000000" w:rsidRPr="00000000">
        <w:rPr>
          <w:rtl w:val="0"/>
        </w:rPr>
      </w:r>
    </w:p>
    <w:p w:rsidR="00000000" w:rsidDel="00000000" w:rsidP="00000000" w:rsidRDefault="00000000" w:rsidRPr="00000000" w14:paraId="0000001D">
      <w:pPr>
        <w:pStyle w:val="Heading1"/>
        <w:spacing w:after="80" w:before="240" w:lineRule="auto"/>
        <w:rPr/>
      </w:pPr>
      <w:r w:rsidDel="00000000" w:rsidR="00000000" w:rsidRPr="00000000">
        <w:rPr>
          <w:rFonts w:ascii="Arial" w:cs="Arial" w:eastAsia="Arial" w:hAnsi="Arial"/>
          <w:b w:val="1"/>
          <w:bCs w:val="1"/>
          <w:color w:val="009463"/>
          <w:sz w:val="25"/>
          <w:szCs w:val="25"/>
          <w:rtl w:val="0"/>
        </w:rPr>
        <w:t xml:space="preserve">2. Exposure Identification and Measurement</w:t>
      </w:r>
      <w:r w:rsidDel="00000000" w:rsidR="00000000" w:rsidRPr="00000000">
        <w:rPr>
          <w:rtl w:val="0"/>
        </w:rPr>
      </w:r>
    </w:p>
    <w:p w:rsidR="00000000" w:rsidDel="00000000" w:rsidP="00000000" w:rsidRDefault="00000000" w:rsidRPr="00000000" w14:paraId="0000001E">
      <w:pPr>
        <w:spacing w:after="70" w:line="260" w:lineRule="auto"/>
        <w:rPr/>
      </w:pPr>
      <w:r w:rsidDel="00000000" w:rsidR="00000000" w:rsidRPr="00000000">
        <w:rPr>
          <w:rFonts w:ascii="Arial" w:cs="Arial" w:eastAsia="Arial" w:hAnsi="Arial"/>
          <w:color w:val="1a1a2e"/>
          <w:sz w:val="19"/>
          <w:szCs w:val="19"/>
          <w:rtl w:val="0"/>
        </w:rPr>
        <w:t xml:space="preserve">Effective FX risk management begins with accurate, timely identification of exposures. The company faces two primary categories of transactional FX risk:</w:t>
      </w:r>
      <w:r w:rsidDel="00000000" w:rsidR="00000000" w:rsidRPr="00000000">
        <w:rPr>
          <w:rtl w:val="0"/>
        </w:rPr>
      </w:r>
    </w:p>
    <w:p w:rsidR="00000000" w:rsidDel="00000000" w:rsidP="00000000" w:rsidRDefault="00000000" w:rsidRPr="00000000" w14:paraId="0000001F">
      <w:pPr>
        <w:spacing w:after="20" w:lineRule="auto"/>
        <w:rPr/>
      </w:pPr>
      <w:r w:rsidDel="00000000" w:rsidR="00000000" w:rsidRPr="00000000">
        <w:rPr>
          <w:rtl w:val="0"/>
        </w:rPr>
      </w:r>
    </w:p>
    <w:tbl>
      <w:tblPr>
        <w:tblStyle w:val="Table2"/>
        <w:tblW w:w="93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00"/>
        <w:gridCol w:w="4253"/>
        <w:gridCol w:w="2853"/>
        <w:tblGridChange w:id="0">
          <w:tblGrid>
            <w:gridCol w:w="2200"/>
            <w:gridCol w:w="4253"/>
            <w:gridCol w:w="2853"/>
          </w:tblGrid>
        </w:tblGridChange>
      </w:tblGrid>
      <w:tr>
        <w:trPr>
          <w:cantSplit w:val="0"/>
          <w:tblHeader w:val="0"/>
        </w:trPr>
        <w:tc>
          <w:tcPr>
            <w:tcBorders>
              <w:top w:color="bdc3c7" w:space="0" w:sz="4" w:val="single"/>
              <w:left w:color="bdc3c7" w:space="0" w:sz="4" w:val="single"/>
              <w:bottom w:color="bdc3c7" w:space="0" w:sz="4" w:val="single"/>
              <w:right w:color="bdc3c7" w:space="0" w:sz="4" w:val="single"/>
            </w:tcBorders>
            <w:shd w:fill="009463" w:val="clear"/>
            <w:tcMar>
              <w:top w:w="60.0" w:type="dxa"/>
              <w:left w:w="100.0" w:type="dxa"/>
              <w:bottom w:w="60.0" w:type="dxa"/>
              <w:right w:w="100.0" w:type="dxa"/>
            </w:tcMar>
          </w:tcPr>
          <w:p w:rsidR="00000000" w:rsidDel="00000000" w:rsidP="00000000" w:rsidRDefault="00000000" w:rsidRPr="00000000" w14:paraId="00000020">
            <w:pPr>
              <w:rPr/>
            </w:pPr>
            <w:r w:rsidDel="00000000" w:rsidR="00000000" w:rsidRPr="00000000">
              <w:rPr>
                <w:rFonts w:ascii="Arial" w:cs="Arial" w:eastAsia="Arial" w:hAnsi="Arial"/>
                <w:b w:val="1"/>
                <w:bCs w:val="1"/>
                <w:color w:val="ffffff"/>
                <w:sz w:val="17"/>
                <w:szCs w:val="17"/>
                <w:rtl w:val="0"/>
              </w:rPr>
              <w:t xml:space="preserve">Exposure Type</w:t>
            </w:r>
            <w:r w:rsidDel="00000000" w:rsidR="00000000" w:rsidRPr="00000000">
              <w:rPr>
                <w:rtl w:val="0"/>
              </w:rPr>
            </w:r>
          </w:p>
        </w:tc>
        <w:tc>
          <w:tcPr>
            <w:tcBorders>
              <w:top w:color="bdc3c7" w:space="0" w:sz="4" w:val="single"/>
              <w:left w:color="bdc3c7" w:space="0" w:sz="4" w:val="single"/>
              <w:bottom w:color="bdc3c7" w:space="0" w:sz="4" w:val="single"/>
              <w:right w:color="bdc3c7" w:space="0" w:sz="4" w:val="single"/>
            </w:tcBorders>
            <w:shd w:fill="009463" w:val="clear"/>
            <w:tcMar>
              <w:top w:w="60.0" w:type="dxa"/>
              <w:left w:w="100.0" w:type="dxa"/>
              <w:bottom w:w="60.0" w:type="dxa"/>
              <w:right w:w="100.0" w:type="dxa"/>
            </w:tcMar>
          </w:tcPr>
          <w:p w:rsidR="00000000" w:rsidDel="00000000" w:rsidP="00000000" w:rsidRDefault="00000000" w:rsidRPr="00000000" w14:paraId="00000021">
            <w:pPr>
              <w:rPr/>
            </w:pPr>
            <w:r w:rsidDel="00000000" w:rsidR="00000000" w:rsidRPr="00000000">
              <w:rPr>
                <w:rFonts w:ascii="Arial" w:cs="Arial" w:eastAsia="Arial" w:hAnsi="Arial"/>
                <w:b w:val="1"/>
                <w:bCs w:val="1"/>
                <w:color w:val="ffffff"/>
                <w:sz w:val="17"/>
                <w:szCs w:val="17"/>
                <w:rtl w:val="0"/>
              </w:rPr>
              <w:t xml:space="preserve">Description</w:t>
            </w:r>
            <w:r w:rsidDel="00000000" w:rsidR="00000000" w:rsidRPr="00000000">
              <w:rPr>
                <w:rtl w:val="0"/>
              </w:rPr>
            </w:r>
          </w:p>
        </w:tc>
        <w:tc>
          <w:tcPr>
            <w:tcBorders>
              <w:top w:color="bdc3c7" w:space="0" w:sz="4" w:val="single"/>
              <w:left w:color="bdc3c7" w:space="0" w:sz="4" w:val="single"/>
              <w:bottom w:color="bdc3c7" w:space="0" w:sz="4" w:val="single"/>
              <w:right w:color="bdc3c7" w:space="0" w:sz="4" w:val="single"/>
            </w:tcBorders>
            <w:shd w:fill="009463" w:val="clear"/>
            <w:tcMar>
              <w:top w:w="60.0" w:type="dxa"/>
              <w:left w:w="100.0" w:type="dxa"/>
              <w:bottom w:w="60.0" w:type="dxa"/>
              <w:right w:w="100.0" w:type="dxa"/>
            </w:tcMar>
          </w:tcPr>
          <w:p w:rsidR="00000000" w:rsidDel="00000000" w:rsidP="00000000" w:rsidRDefault="00000000" w:rsidRPr="00000000" w14:paraId="00000022">
            <w:pPr>
              <w:rPr/>
            </w:pPr>
            <w:r w:rsidDel="00000000" w:rsidR="00000000" w:rsidRPr="00000000">
              <w:rPr>
                <w:rFonts w:ascii="Arial" w:cs="Arial" w:eastAsia="Arial" w:hAnsi="Arial"/>
                <w:b w:val="1"/>
                <w:bCs w:val="1"/>
                <w:color w:val="ffffff"/>
                <w:sz w:val="17"/>
                <w:szCs w:val="17"/>
                <w:rtl w:val="0"/>
              </w:rPr>
              <w:t xml:space="preserve">P&amp;L Impact</w:t>
            </w:r>
            <w:r w:rsidDel="00000000" w:rsidR="00000000" w:rsidRPr="00000000">
              <w:rPr>
                <w:rtl w:val="0"/>
              </w:rPr>
            </w:r>
          </w:p>
        </w:tc>
      </w:tr>
      <w:tr>
        <w:trPr>
          <w:cantSplit w:val="0"/>
          <w:tblHeader w:val="0"/>
        </w:trPr>
        <w:tc>
          <w:tcPr>
            <w:tcBorders>
              <w:top w:color="bdc3c7" w:space="0" w:sz="4" w:val="single"/>
              <w:left w:color="bdc3c7" w:space="0" w:sz="4" w:val="single"/>
              <w:bottom w:color="bdc3c7" w:space="0" w:sz="4" w:val="single"/>
              <w:right w:color="bdc3c7" w:space="0" w:sz="4" w:val="single"/>
            </w:tcBorders>
            <w:shd w:fill="ffffff" w:val="clear"/>
            <w:tcMar>
              <w:top w:w="60.0" w:type="dxa"/>
              <w:left w:w="100.0" w:type="dxa"/>
              <w:bottom w:w="60.0" w:type="dxa"/>
              <w:right w:w="100.0" w:type="dxa"/>
            </w:tcMar>
          </w:tcPr>
          <w:p w:rsidR="00000000" w:rsidDel="00000000" w:rsidP="00000000" w:rsidRDefault="00000000" w:rsidRPr="00000000" w14:paraId="00000023">
            <w:pPr>
              <w:rPr/>
            </w:pPr>
            <w:r w:rsidDel="00000000" w:rsidR="00000000" w:rsidRPr="00000000">
              <w:rPr>
                <w:rFonts w:ascii="Arial" w:cs="Arial" w:eastAsia="Arial" w:hAnsi="Arial"/>
                <w:b w:val="1"/>
                <w:bCs w:val="1"/>
                <w:color w:val="1a1a2e"/>
                <w:sz w:val="17"/>
                <w:szCs w:val="17"/>
                <w:rtl w:val="0"/>
              </w:rPr>
              <w:t xml:space="preserve">Margin Risk</w:t>
            </w:r>
            <w:r w:rsidDel="00000000" w:rsidR="00000000" w:rsidRPr="00000000">
              <w:rPr>
                <w:rtl w:val="0"/>
              </w:rPr>
            </w:r>
          </w:p>
        </w:tc>
        <w:tc>
          <w:tcPr>
            <w:tcBorders>
              <w:top w:color="bdc3c7" w:space="0" w:sz="4" w:val="single"/>
              <w:left w:color="bdc3c7" w:space="0" w:sz="4" w:val="single"/>
              <w:bottom w:color="bdc3c7" w:space="0" w:sz="4" w:val="single"/>
              <w:right w:color="bdc3c7" w:space="0" w:sz="4" w:val="single"/>
            </w:tcBorders>
            <w:shd w:fill="ffffff" w:val="clear"/>
            <w:tcMar>
              <w:top w:w="60.0" w:type="dxa"/>
              <w:left w:w="100.0" w:type="dxa"/>
              <w:bottom w:w="60.0" w:type="dxa"/>
              <w:right w:w="100.0" w:type="dxa"/>
            </w:tcMar>
          </w:tcPr>
          <w:p w:rsidR="00000000" w:rsidDel="00000000" w:rsidP="00000000" w:rsidRDefault="00000000" w:rsidRPr="00000000" w14:paraId="00000024">
            <w:pPr>
              <w:rPr/>
            </w:pPr>
            <w:r w:rsidDel="00000000" w:rsidR="00000000" w:rsidRPr="00000000">
              <w:rPr>
                <w:rFonts w:ascii="Arial" w:cs="Arial" w:eastAsia="Arial" w:hAnsi="Arial"/>
                <w:color w:val="1a1a2e"/>
                <w:sz w:val="17"/>
                <w:szCs w:val="17"/>
                <w:rtl w:val="0"/>
              </w:rPr>
              <w:t xml:space="preserve">Future revenue or costs in non-functional currency not yet invoiced. FX moves erode commercial margins.</w:t>
            </w:r>
            <w:r w:rsidDel="00000000" w:rsidR="00000000" w:rsidRPr="00000000">
              <w:rPr>
                <w:rtl w:val="0"/>
              </w:rPr>
            </w:r>
          </w:p>
        </w:tc>
        <w:tc>
          <w:tcPr>
            <w:tcBorders>
              <w:top w:color="bdc3c7" w:space="0" w:sz="4" w:val="single"/>
              <w:left w:color="bdc3c7" w:space="0" w:sz="4" w:val="single"/>
              <w:bottom w:color="bdc3c7" w:space="0" w:sz="4" w:val="single"/>
              <w:right w:color="bdc3c7" w:space="0" w:sz="4" w:val="single"/>
            </w:tcBorders>
            <w:shd w:fill="ffffff" w:val="clear"/>
            <w:tcMar>
              <w:top w:w="60.0" w:type="dxa"/>
              <w:left w:w="100.0" w:type="dxa"/>
              <w:bottom w:w="60.0" w:type="dxa"/>
              <w:right w:w="100.0" w:type="dxa"/>
            </w:tcMar>
          </w:tcPr>
          <w:p w:rsidR="00000000" w:rsidDel="00000000" w:rsidP="00000000" w:rsidRDefault="00000000" w:rsidRPr="00000000" w14:paraId="00000025">
            <w:pPr>
              <w:rPr/>
            </w:pPr>
            <w:r w:rsidDel="00000000" w:rsidR="00000000" w:rsidRPr="00000000">
              <w:rPr>
                <w:rFonts w:ascii="Arial" w:cs="Arial" w:eastAsia="Arial" w:hAnsi="Arial"/>
                <w:color w:val="1a1a2e"/>
                <w:sz w:val="17"/>
                <w:szCs w:val="17"/>
                <w:rtl w:val="0"/>
              </w:rPr>
              <w:t xml:space="preserve">Gross margin, operating profit</w:t>
            </w:r>
            <w:r w:rsidDel="00000000" w:rsidR="00000000" w:rsidRPr="00000000">
              <w:rPr>
                <w:rtl w:val="0"/>
              </w:rPr>
            </w:r>
          </w:p>
        </w:tc>
      </w:tr>
      <w:tr>
        <w:trPr>
          <w:cantSplit w:val="0"/>
          <w:tblHeader w:val="0"/>
        </w:trPr>
        <w:tc>
          <w:tcPr>
            <w:tcBorders>
              <w:top w:color="bdc3c7" w:space="0" w:sz="4" w:val="single"/>
              <w:left w:color="bdc3c7" w:space="0" w:sz="4" w:val="single"/>
              <w:bottom w:color="bdc3c7" w:space="0" w:sz="4" w:val="single"/>
              <w:right w:color="bdc3c7" w:space="0" w:sz="4" w:val="single"/>
            </w:tcBorders>
            <w:shd w:fill="f2f3f4" w:val="clear"/>
            <w:tcMar>
              <w:top w:w="60.0" w:type="dxa"/>
              <w:left w:w="100.0" w:type="dxa"/>
              <w:bottom w:w="60.0" w:type="dxa"/>
              <w:right w:w="100.0" w:type="dxa"/>
            </w:tcMar>
          </w:tcPr>
          <w:p w:rsidR="00000000" w:rsidDel="00000000" w:rsidP="00000000" w:rsidRDefault="00000000" w:rsidRPr="00000000" w14:paraId="00000026">
            <w:pPr>
              <w:rPr/>
            </w:pPr>
            <w:r w:rsidDel="00000000" w:rsidR="00000000" w:rsidRPr="00000000">
              <w:rPr>
                <w:rFonts w:ascii="Arial" w:cs="Arial" w:eastAsia="Arial" w:hAnsi="Arial"/>
                <w:b w:val="1"/>
                <w:bCs w:val="1"/>
                <w:color w:val="1a1a2e"/>
                <w:sz w:val="17"/>
                <w:szCs w:val="17"/>
                <w:rtl w:val="0"/>
              </w:rPr>
              <w:t xml:space="preserve">Re-measurement Risk</w:t>
            </w:r>
            <w:r w:rsidDel="00000000" w:rsidR="00000000" w:rsidRPr="00000000">
              <w:rPr>
                <w:rtl w:val="0"/>
              </w:rPr>
            </w:r>
          </w:p>
        </w:tc>
        <w:tc>
          <w:tcPr>
            <w:tcBorders>
              <w:top w:color="bdc3c7" w:space="0" w:sz="4" w:val="single"/>
              <w:left w:color="bdc3c7" w:space="0" w:sz="4" w:val="single"/>
              <w:bottom w:color="bdc3c7" w:space="0" w:sz="4" w:val="single"/>
              <w:right w:color="bdc3c7" w:space="0" w:sz="4" w:val="single"/>
            </w:tcBorders>
            <w:shd w:fill="f2f3f4" w:val="clear"/>
            <w:tcMar>
              <w:top w:w="60.0" w:type="dxa"/>
              <w:left w:w="100.0" w:type="dxa"/>
              <w:bottom w:w="60.0" w:type="dxa"/>
              <w:right w:w="100.0" w:type="dxa"/>
            </w:tcMar>
          </w:tcPr>
          <w:p w:rsidR="00000000" w:rsidDel="00000000" w:rsidP="00000000" w:rsidRDefault="00000000" w:rsidRPr="00000000" w14:paraId="00000027">
            <w:pPr>
              <w:rPr/>
            </w:pPr>
            <w:r w:rsidDel="00000000" w:rsidR="00000000" w:rsidRPr="00000000">
              <w:rPr>
                <w:rFonts w:ascii="Arial" w:cs="Arial" w:eastAsia="Arial" w:hAnsi="Arial"/>
                <w:color w:val="1a1a2e"/>
                <w:sz w:val="17"/>
                <w:szCs w:val="17"/>
                <w:rtl w:val="0"/>
              </w:rPr>
              <w:t xml:space="preserve">Booked receivables/payables in non-functional currency. Accounting rules require re-measurement at each reporting date.</w:t>
            </w:r>
            <w:r w:rsidDel="00000000" w:rsidR="00000000" w:rsidRPr="00000000">
              <w:rPr>
                <w:rtl w:val="0"/>
              </w:rPr>
            </w:r>
          </w:p>
        </w:tc>
        <w:tc>
          <w:tcPr>
            <w:tcBorders>
              <w:top w:color="bdc3c7" w:space="0" w:sz="4" w:val="single"/>
              <w:left w:color="bdc3c7" w:space="0" w:sz="4" w:val="single"/>
              <w:bottom w:color="bdc3c7" w:space="0" w:sz="4" w:val="single"/>
              <w:right w:color="bdc3c7" w:space="0" w:sz="4" w:val="single"/>
            </w:tcBorders>
            <w:shd w:fill="f2f3f4" w:val="clear"/>
            <w:tcMar>
              <w:top w:w="60.0" w:type="dxa"/>
              <w:left w:w="100.0" w:type="dxa"/>
              <w:bottom w:w="60.0" w:type="dxa"/>
              <w:right w:w="100.0" w:type="dxa"/>
            </w:tcMar>
          </w:tcPr>
          <w:p w:rsidR="00000000" w:rsidDel="00000000" w:rsidP="00000000" w:rsidRDefault="00000000" w:rsidRPr="00000000" w14:paraId="00000028">
            <w:pPr>
              <w:rPr/>
            </w:pPr>
            <w:r w:rsidDel="00000000" w:rsidR="00000000" w:rsidRPr="00000000">
              <w:rPr>
                <w:rFonts w:ascii="Arial" w:cs="Arial" w:eastAsia="Arial" w:hAnsi="Arial"/>
                <w:color w:val="1a1a2e"/>
                <w:sz w:val="17"/>
                <w:szCs w:val="17"/>
                <w:rtl w:val="0"/>
              </w:rPr>
              <w:t xml:space="preserve">FX Gain/Loss (below operating profit)</w:t>
            </w:r>
            <w:r w:rsidDel="00000000" w:rsidR="00000000" w:rsidRPr="00000000">
              <w:rPr>
                <w:rtl w:val="0"/>
              </w:rPr>
            </w:r>
          </w:p>
        </w:tc>
      </w:tr>
    </w:tbl>
    <w:p w:rsidR="00000000" w:rsidDel="00000000" w:rsidP="00000000" w:rsidRDefault="00000000" w:rsidRPr="00000000" w14:paraId="00000029">
      <w:pPr>
        <w:spacing w:after="30" w:lineRule="auto"/>
        <w:rPr/>
      </w:pPr>
      <w:r w:rsidDel="00000000" w:rsidR="00000000" w:rsidRPr="00000000">
        <w:rPr>
          <w:rtl w:val="0"/>
        </w:rPr>
      </w:r>
    </w:p>
    <w:p w:rsidR="00000000" w:rsidDel="00000000" w:rsidP="00000000" w:rsidRDefault="00000000" w:rsidRPr="00000000" w14:paraId="0000002A">
      <w:pPr>
        <w:spacing w:after="70" w:line="260" w:lineRule="auto"/>
        <w:rPr/>
      </w:pPr>
      <w:r w:rsidDel="00000000" w:rsidR="00000000" w:rsidRPr="00000000">
        <w:rPr>
          <w:rFonts w:ascii="Arial" w:cs="Arial" w:eastAsia="Arial" w:hAnsi="Arial"/>
          <w:b w:val="1"/>
          <w:bCs w:val="1"/>
          <w:color w:val="1a1a2e"/>
          <w:sz w:val="19"/>
          <w:szCs w:val="19"/>
          <w:rtl w:val="0"/>
        </w:rPr>
        <w:t xml:space="preserve">Exposure tracking. </w:t>
      </w:r>
      <w:r w:rsidDel="00000000" w:rsidR="00000000" w:rsidRPr="00000000">
        <w:rPr>
          <w:rFonts w:ascii="Arial" w:cs="Arial" w:eastAsia="Arial" w:hAnsi="Arial"/>
          <w:color w:val="1a1a2e"/>
          <w:sz w:val="19"/>
          <w:szCs w:val="19"/>
          <w:rtl w:val="0"/>
        </w:rPr>
        <w:t xml:space="preserve">The CFO (or delegated finance team member) shall maintain a rolling view of FX exposures using a treasury risk management system or adequate register, updated at least monthly, showing: currency pair, exposure type (margin or re-measurement), gross and net amounts, time horizon, and current hedge coverage. The system should capture exposures from all sources including trade receivables, trade payables, committed purchase orders, contracted revenue, and inter-company balances.</w:t>
      </w:r>
      <w:r w:rsidDel="00000000" w:rsidR="00000000" w:rsidRPr="00000000">
        <w:rPr>
          <w:rtl w:val="0"/>
        </w:rPr>
      </w:r>
    </w:p>
    <w:p w:rsidR="00000000" w:rsidDel="00000000" w:rsidP="00000000" w:rsidRDefault="00000000" w:rsidRPr="00000000" w14:paraId="0000002B">
      <w:pPr>
        <w:spacing w:after="20" w:lineRule="auto"/>
        <w:rPr/>
      </w:pPr>
      <w:r w:rsidDel="00000000" w:rsidR="00000000" w:rsidRPr="00000000">
        <w:rPr>
          <w:rtl w:val="0"/>
        </w:rPr>
      </w:r>
    </w:p>
    <w:p w:rsidR="00000000" w:rsidDel="00000000" w:rsidP="00000000" w:rsidRDefault="00000000" w:rsidRPr="00000000" w14:paraId="0000002C">
      <w:pPr>
        <w:spacing w:after="70" w:line="260" w:lineRule="auto"/>
        <w:rPr/>
      </w:pPr>
      <w:r w:rsidDel="00000000" w:rsidR="00000000" w:rsidRPr="00000000">
        <w:rPr>
          <w:rFonts w:ascii="Arial" w:cs="Arial" w:eastAsia="Arial" w:hAnsi="Arial"/>
          <w:b w:val="1"/>
          <w:bCs w:val="1"/>
          <w:color w:val="1a1a2e"/>
          <w:sz w:val="19"/>
          <w:szCs w:val="19"/>
          <w:rtl w:val="0"/>
        </w:rPr>
        <w:t xml:space="preserve">Materiality threshold. </w:t>
      </w:r>
      <w:r w:rsidDel="00000000" w:rsidR="00000000" w:rsidRPr="00000000">
        <w:rPr>
          <w:rFonts w:ascii="Arial" w:cs="Arial" w:eastAsia="Arial" w:hAnsi="Arial"/>
          <w:color w:val="1a1a2e"/>
          <w:sz w:val="19"/>
          <w:szCs w:val="19"/>
          <w:rtl w:val="0"/>
        </w:rPr>
        <w:t xml:space="preserve">Exposures below </w:t>
      </w:r>
      <w:r w:rsidDel="00000000" w:rsidR="00000000" w:rsidRPr="00000000">
        <w:rPr>
          <w:rFonts w:ascii="Arial" w:cs="Arial" w:eastAsia="Arial" w:hAnsi="Arial"/>
          <w:color w:val="1a1a2e"/>
          <w:sz w:val="19"/>
          <w:szCs w:val="19"/>
          <w:highlight w:val="yellow"/>
          <w:rtl w:val="0"/>
        </w:rPr>
        <w:t xml:space="preserve">[GBP equivalent of £50,000]</w:t>
      </w:r>
      <w:r w:rsidDel="00000000" w:rsidR="00000000" w:rsidRPr="00000000">
        <w:rPr>
          <w:rFonts w:ascii="Arial" w:cs="Arial" w:eastAsia="Arial" w:hAnsi="Arial"/>
          <w:color w:val="1a1a2e"/>
          <w:sz w:val="19"/>
          <w:szCs w:val="19"/>
          <w:rtl w:val="0"/>
        </w:rPr>
        <w:t xml:space="preserve"> per currency per quarter need not be hedged but should still be recorded. The threshold shall be reviewed annually relative to the company’s revenue and margin profile.</w:t>
      </w:r>
      <w:r w:rsidDel="00000000" w:rsidR="00000000" w:rsidRPr="00000000">
        <w:rPr>
          <w:rtl w:val="0"/>
        </w:rPr>
      </w:r>
    </w:p>
    <w:p w:rsidR="00000000" w:rsidDel="00000000" w:rsidP="00000000" w:rsidRDefault="00000000" w:rsidRPr="00000000" w14:paraId="0000002D">
      <w:pPr>
        <w:spacing w:after="70" w:line="260" w:lineRule="auto"/>
        <w:rPr/>
      </w:pPr>
      <w:r w:rsidDel="00000000" w:rsidR="00000000" w:rsidRPr="00000000">
        <w:rPr>
          <w:rFonts w:ascii="Arial" w:cs="Arial" w:eastAsia="Arial" w:hAnsi="Arial"/>
          <w:i w:val="1"/>
          <w:iCs w:val="1"/>
          <w:color w:val="5d6d7e"/>
          <w:sz w:val="17"/>
          <w:szCs w:val="17"/>
          <w:rtl w:val="0"/>
        </w:rPr>
        <w:t xml:space="preserve">[Guidance: A useful rule of thumb is that hedging is justified when a 10% adverse FX move on an unhedged position would materially impact quarterly earnings or cash flow forecasts.]</w:t>
      </w:r>
      <w:r w:rsidDel="00000000" w:rsidR="00000000" w:rsidRPr="00000000">
        <w:rPr>
          <w:rtl w:val="0"/>
        </w:rPr>
      </w:r>
    </w:p>
    <w:p w:rsidR="00000000" w:rsidDel="00000000" w:rsidP="00000000" w:rsidRDefault="00000000" w:rsidRPr="00000000" w14:paraId="0000002E">
      <w:pPr>
        <w:pStyle w:val="Heading1"/>
        <w:spacing w:after="80" w:before="240" w:lineRule="auto"/>
        <w:rPr/>
      </w:pPr>
      <w:r w:rsidDel="00000000" w:rsidR="00000000" w:rsidRPr="00000000">
        <w:rPr>
          <w:rFonts w:ascii="Arial" w:cs="Arial" w:eastAsia="Arial" w:hAnsi="Arial"/>
          <w:b w:val="1"/>
          <w:bCs w:val="1"/>
          <w:color w:val="009463"/>
          <w:sz w:val="25"/>
          <w:szCs w:val="25"/>
          <w:rtl w:val="0"/>
        </w:rPr>
        <w:t xml:space="preserve">3. Risk Mitigation Hierarchy</w:t>
      </w:r>
      <w:r w:rsidDel="00000000" w:rsidR="00000000" w:rsidRPr="00000000">
        <w:rPr>
          <w:rtl w:val="0"/>
        </w:rPr>
      </w:r>
    </w:p>
    <w:p w:rsidR="00000000" w:rsidDel="00000000" w:rsidP="00000000" w:rsidRDefault="00000000" w:rsidRPr="00000000" w14:paraId="0000002F">
      <w:pPr>
        <w:spacing w:after="70" w:line="260" w:lineRule="auto"/>
        <w:rPr/>
      </w:pPr>
      <w:r w:rsidDel="00000000" w:rsidR="00000000" w:rsidRPr="00000000">
        <w:rPr>
          <w:rFonts w:ascii="Arial" w:cs="Arial" w:eastAsia="Arial" w:hAnsi="Arial"/>
          <w:color w:val="1a1a2e"/>
          <w:sz w:val="19"/>
          <w:szCs w:val="19"/>
          <w:rtl w:val="0"/>
        </w:rPr>
        <w:t xml:space="preserve">The company shall follow a structured hierarchy when addressing identified FX exposures, preferring approaches that reduce underlying risk before adding financial instruments:</w:t>
      </w:r>
      <w:r w:rsidDel="00000000" w:rsidR="00000000" w:rsidRPr="00000000">
        <w:rPr>
          <w:rtl w:val="0"/>
        </w:rPr>
      </w:r>
    </w:p>
    <w:p w:rsidR="00000000" w:rsidDel="00000000" w:rsidP="00000000" w:rsidRDefault="00000000" w:rsidRPr="00000000" w14:paraId="00000030">
      <w:pPr>
        <w:spacing w:after="20" w:lineRule="auto"/>
        <w:rPr/>
      </w:pPr>
      <w:r w:rsidDel="00000000" w:rsidR="00000000" w:rsidRPr="00000000">
        <w:rPr>
          <w:rtl w:val="0"/>
        </w:rPr>
      </w:r>
    </w:p>
    <w:p w:rsidR="00000000" w:rsidDel="00000000" w:rsidP="00000000" w:rsidRDefault="00000000" w:rsidRPr="00000000" w14:paraId="00000031">
      <w:pPr>
        <w:spacing w:after="70" w:line="260" w:lineRule="auto"/>
        <w:rPr/>
      </w:pPr>
      <w:r w:rsidDel="00000000" w:rsidR="00000000" w:rsidRPr="00000000">
        <w:rPr>
          <w:rFonts w:ascii="Arial" w:cs="Arial" w:eastAsia="Arial" w:hAnsi="Arial"/>
          <w:b w:val="1"/>
          <w:bCs w:val="1"/>
          <w:color w:val="1a1a2e"/>
          <w:sz w:val="19"/>
          <w:szCs w:val="19"/>
          <w:rtl w:val="0"/>
        </w:rPr>
        <w:t xml:space="preserve">Step 1 — Avoidance and commercial structuring. </w:t>
      </w:r>
      <w:r w:rsidDel="00000000" w:rsidR="00000000" w:rsidRPr="00000000">
        <w:rPr>
          <w:rFonts w:ascii="Arial" w:cs="Arial" w:eastAsia="Arial" w:hAnsi="Arial"/>
          <w:color w:val="1a1a2e"/>
          <w:sz w:val="19"/>
          <w:szCs w:val="19"/>
          <w:rtl w:val="0"/>
        </w:rPr>
        <w:t xml:space="preserve">Where commercially feasible, the company should price, invoice, or contract in its functional currency. Supplier and customer negotiations should consider currency of billing as a factor.</w:t>
      </w:r>
      <w:r w:rsidDel="00000000" w:rsidR="00000000" w:rsidRPr="00000000">
        <w:rPr>
          <w:rtl w:val="0"/>
        </w:rPr>
      </w:r>
    </w:p>
    <w:p w:rsidR="00000000" w:rsidDel="00000000" w:rsidP="00000000" w:rsidRDefault="00000000" w:rsidRPr="00000000" w14:paraId="00000032">
      <w:pPr>
        <w:spacing w:after="10" w:lineRule="auto"/>
        <w:rPr/>
      </w:pPr>
      <w:r w:rsidDel="00000000" w:rsidR="00000000" w:rsidRPr="00000000">
        <w:rPr>
          <w:rtl w:val="0"/>
        </w:rPr>
      </w:r>
    </w:p>
    <w:p w:rsidR="00000000" w:rsidDel="00000000" w:rsidP="00000000" w:rsidRDefault="00000000" w:rsidRPr="00000000" w14:paraId="00000033">
      <w:pPr>
        <w:spacing w:after="70" w:line="260" w:lineRule="auto"/>
        <w:rPr/>
      </w:pPr>
      <w:r w:rsidDel="00000000" w:rsidR="00000000" w:rsidRPr="00000000">
        <w:rPr>
          <w:rFonts w:ascii="Arial" w:cs="Arial" w:eastAsia="Arial" w:hAnsi="Arial"/>
          <w:b w:val="1"/>
          <w:bCs w:val="1"/>
          <w:color w:val="1a1a2e"/>
          <w:sz w:val="19"/>
          <w:szCs w:val="19"/>
          <w:rtl w:val="0"/>
        </w:rPr>
        <w:t xml:space="preserve">Step 2 — Natural hedging. </w:t>
      </w:r>
      <w:r w:rsidDel="00000000" w:rsidR="00000000" w:rsidRPr="00000000">
        <w:rPr>
          <w:rFonts w:ascii="Arial" w:cs="Arial" w:eastAsia="Arial" w:hAnsi="Arial"/>
          <w:color w:val="1a1a2e"/>
          <w:sz w:val="19"/>
          <w:szCs w:val="19"/>
          <w:rtl w:val="0"/>
        </w:rPr>
        <w:t xml:space="preserve">Where the company has both revenues and costs in the same foreign currency, these should be matched (netted) to reduce the exposure that requires financial hedging. Timing alignment of receipts and payments in the same currency should be optimised. Maintaining foreign currency bank accounts to receive and pay in the same currency is encouraged.</w:t>
      </w:r>
      <w:r w:rsidDel="00000000" w:rsidR="00000000" w:rsidRPr="00000000">
        <w:rPr>
          <w:rtl w:val="0"/>
        </w:rPr>
      </w:r>
    </w:p>
    <w:p w:rsidR="00000000" w:rsidDel="00000000" w:rsidP="00000000" w:rsidRDefault="00000000" w:rsidRPr="00000000" w14:paraId="00000034">
      <w:pPr>
        <w:spacing w:after="10" w:lineRule="auto"/>
        <w:rPr/>
      </w:pPr>
      <w:r w:rsidDel="00000000" w:rsidR="00000000" w:rsidRPr="00000000">
        <w:rPr>
          <w:rtl w:val="0"/>
        </w:rPr>
      </w:r>
    </w:p>
    <w:p w:rsidR="00000000" w:rsidDel="00000000" w:rsidP="00000000" w:rsidRDefault="00000000" w:rsidRPr="00000000" w14:paraId="00000035">
      <w:pPr>
        <w:spacing w:after="70" w:line="260" w:lineRule="auto"/>
        <w:rPr/>
      </w:pPr>
      <w:r w:rsidDel="00000000" w:rsidR="00000000" w:rsidRPr="00000000">
        <w:rPr>
          <w:rFonts w:ascii="Arial" w:cs="Arial" w:eastAsia="Arial" w:hAnsi="Arial"/>
          <w:b w:val="1"/>
          <w:bCs w:val="1"/>
          <w:color w:val="1a1a2e"/>
          <w:sz w:val="19"/>
          <w:szCs w:val="19"/>
          <w:rtl w:val="0"/>
        </w:rPr>
        <w:t xml:space="preserve">Step 3 — Financial hedging. </w:t>
      </w:r>
      <w:r w:rsidDel="00000000" w:rsidR="00000000" w:rsidRPr="00000000">
        <w:rPr>
          <w:rFonts w:ascii="Arial" w:cs="Arial" w:eastAsia="Arial" w:hAnsi="Arial"/>
          <w:color w:val="1a1a2e"/>
          <w:sz w:val="19"/>
          <w:szCs w:val="19"/>
          <w:rtl w:val="0"/>
        </w:rPr>
        <w:t xml:space="preserve">Remaining net exposures above the materiality threshold, after netting, shall be hedged using the authorised instruments and within the parameters set out in Sections 4 and 5 below.</w:t>
      </w:r>
      <w:r w:rsidDel="00000000" w:rsidR="00000000" w:rsidRPr="00000000">
        <w:rPr>
          <w:rtl w:val="0"/>
        </w:rPr>
      </w:r>
    </w:p>
    <w:p w:rsidR="00000000" w:rsidDel="00000000" w:rsidP="00000000" w:rsidRDefault="00000000" w:rsidRPr="00000000" w14:paraId="00000036">
      <w:pPr>
        <w:pStyle w:val="Heading1"/>
        <w:spacing w:after="80" w:before="240" w:lineRule="auto"/>
        <w:rPr/>
      </w:pPr>
      <w:r w:rsidDel="00000000" w:rsidR="00000000" w:rsidRPr="00000000">
        <w:rPr>
          <w:rFonts w:ascii="Arial" w:cs="Arial" w:eastAsia="Arial" w:hAnsi="Arial"/>
          <w:b w:val="1"/>
          <w:bCs w:val="1"/>
          <w:color w:val="009463"/>
          <w:sz w:val="25"/>
          <w:szCs w:val="25"/>
          <w:rtl w:val="0"/>
        </w:rPr>
        <w:t xml:space="preserve">4. Hedging Parameters</w:t>
      </w:r>
      <w:r w:rsidDel="00000000" w:rsidR="00000000" w:rsidRPr="00000000">
        <w:rPr>
          <w:rtl w:val="0"/>
        </w:rPr>
      </w:r>
    </w:p>
    <w:p w:rsidR="00000000" w:rsidDel="00000000" w:rsidP="00000000" w:rsidRDefault="00000000" w:rsidRPr="00000000" w14:paraId="00000037">
      <w:pPr>
        <w:pStyle w:val="Heading2"/>
        <w:spacing w:after="60" w:before="160" w:lineRule="auto"/>
        <w:rPr/>
      </w:pPr>
      <w:r w:rsidDel="00000000" w:rsidR="00000000" w:rsidRPr="00000000">
        <w:rPr>
          <w:rFonts w:ascii="Arial" w:cs="Arial" w:eastAsia="Arial" w:hAnsi="Arial"/>
          <w:b w:val="1"/>
          <w:bCs w:val="1"/>
          <w:color w:val="009463"/>
          <w:sz w:val="21"/>
          <w:szCs w:val="21"/>
          <w:rtl w:val="0"/>
        </w:rPr>
        <w:t xml:space="preserve">4.1 Hedge Ratios and Tenor</w:t>
      </w:r>
      <w:r w:rsidDel="00000000" w:rsidR="00000000" w:rsidRPr="00000000">
        <w:rPr>
          <w:rtl w:val="0"/>
        </w:rPr>
      </w:r>
    </w:p>
    <w:p w:rsidR="00000000" w:rsidDel="00000000" w:rsidP="00000000" w:rsidRDefault="00000000" w:rsidRPr="00000000" w14:paraId="00000038">
      <w:pPr>
        <w:spacing w:after="70" w:line="260" w:lineRule="auto"/>
        <w:rPr/>
      </w:pPr>
      <w:r w:rsidDel="00000000" w:rsidR="00000000" w:rsidRPr="00000000">
        <w:rPr>
          <w:rFonts w:ascii="Arial" w:cs="Arial" w:eastAsia="Arial" w:hAnsi="Arial"/>
          <w:color w:val="1a1a2e"/>
          <w:sz w:val="19"/>
          <w:szCs w:val="19"/>
          <w:rtl w:val="0"/>
        </w:rPr>
        <w:t xml:space="preserve">The company shall hedge its net FX exposures within the following ranges. A layered approach is recommended — hedging a higher proportion of near-term exposures where cash flow certainty is greatest, and a lower proportion of longer-dated exposures where forecasts are less reliable.</w:t>
      </w:r>
      <w:r w:rsidDel="00000000" w:rsidR="00000000" w:rsidRPr="00000000">
        <w:rPr>
          <w:rtl w:val="0"/>
        </w:rPr>
      </w:r>
    </w:p>
    <w:p w:rsidR="00000000" w:rsidDel="00000000" w:rsidP="00000000" w:rsidRDefault="00000000" w:rsidRPr="00000000" w14:paraId="00000039">
      <w:pPr>
        <w:spacing w:after="10" w:lineRule="auto"/>
        <w:rPr/>
      </w:pPr>
      <w:r w:rsidDel="00000000" w:rsidR="00000000" w:rsidRPr="00000000">
        <w:rPr>
          <w:rtl w:val="0"/>
        </w:rPr>
      </w:r>
    </w:p>
    <w:tbl>
      <w:tblPr>
        <w:tblStyle w:val="Table3"/>
        <w:tblW w:w="93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00"/>
        <w:gridCol w:w="2415"/>
        <w:gridCol w:w="2235"/>
        <w:gridCol w:w="2250"/>
        <w:tblGridChange w:id="0">
          <w:tblGrid>
            <w:gridCol w:w="2400"/>
            <w:gridCol w:w="2415"/>
            <w:gridCol w:w="2235"/>
            <w:gridCol w:w="2250"/>
          </w:tblGrid>
        </w:tblGridChange>
      </w:tblGrid>
      <w:tr>
        <w:trPr>
          <w:cantSplit w:val="0"/>
          <w:tblHeader w:val="0"/>
        </w:trPr>
        <w:tc>
          <w:tcPr>
            <w:tcBorders>
              <w:top w:color="bdc3c7" w:space="0" w:sz="4" w:val="single"/>
              <w:left w:color="bdc3c7" w:space="0" w:sz="4" w:val="single"/>
              <w:bottom w:color="bdc3c7" w:space="0" w:sz="4" w:val="single"/>
              <w:right w:color="bdc3c7" w:space="0" w:sz="4" w:val="single"/>
            </w:tcBorders>
            <w:shd w:fill="009463" w:val="clear"/>
            <w:tcMar>
              <w:top w:w="60.0" w:type="dxa"/>
              <w:left w:w="100.0" w:type="dxa"/>
              <w:bottom w:w="60.0" w:type="dxa"/>
              <w:right w:w="100.0" w:type="dxa"/>
            </w:tcMar>
          </w:tcPr>
          <w:p w:rsidR="00000000" w:rsidDel="00000000" w:rsidP="00000000" w:rsidRDefault="00000000" w:rsidRPr="00000000" w14:paraId="0000003A">
            <w:pPr>
              <w:rPr/>
            </w:pPr>
            <w:r w:rsidDel="00000000" w:rsidR="00000000" w:rsidRPr="00000000">
              <w:rPr>
                <w:rFonts w:ascii="Arial" w:cs="Arial" w:eastAsia="Arial" w:hAnsi="Arial"/>
                <w:b w:val="1"/>
                <w:bCs w:val="1"/>
                <w:color w:val="ffffff"/>
                <w:sz w:val="17"/>
                <w:szCs w:val="17"/>
                <w:rtl w:val="0"/>
              </w:rPr>
              <w:t xml:space="preserve">Time Horizon</w:t>
            </w:r>
            <w:r w:rsidDel="00000000" w:rsidR="00000000" w:rsidRPr="00000000">
              <w:rPr>
                <w:rtl w:val="0"/>
              </w:rPr>
            </w:r>
          </w:p>
        </w:tc>
        <w:tc>
          <w:tcPr>
            <w:tcBorders>
              <w:top w:color="bdc3c7" w:space="0" w:sz="4" w:val="single"/>
              <w:left w:color="bdc3c7" w:space="0" w:sz="4" w:val="single"/>
              <w:bottom w:color="bdc3c7" w:space="0" w:sz="4" w:val="single"/>
              <w:right w:color="bdc3c7" w:space="0" w:sz="4" w:val="single"/>
            </w:tcBorders>
            <w:shd w:fill="009463" w:val="clear"/>
            <w:tcMar>
              <w:top w:w="60.0" w:type="dxa"/>
              <w:left w:w="100.0" w:type="dxa"/>
              <w:bottom w:w="60.0" w:type="dxa"/>
              <w:right w:w="100.0" w:type="dxa"/>
            </w:tcMar>
          </w:tcPr>
          <w:p w:rsidR="00000000" w:rsidDel="00000000" w:rsidP="00000000" w:rsidRDefault="00000000" w:rsidRPr="00000000" w14:paraId="0000003B">
            <w:pPr>
              <w:rPr/>
            </w:pPr>
            <w:r w:rsidDel="00000000" w:rsidR="00000000" w:rsidRPr="00000000">
              <w:rPr>
                <w:rFonts w:ascii="Arial" w:cs="Arial" w:eastAsia="Arial" w:hAnsi="Arial"/>
                <w:b w:val="1"/>
                <w:bCs w:val="1"/>
                <w:color w:val="ffffff"/>
                <w:sz w:val="17"/>
                <w:szCs w:val="17"/>
                <w:rtl w:val="0"/>
              </w:rPr>
              <w:t xml:space="preserve">Exposure Certainty</w:t>
            </w:r>
            <w:r w:rsidDel="00000000" w:rsidR="00000000" w:rsidRPr="00000000">
              <w:rPr>
                <w:rtl w:val="0"/>
              </w:rPr>
            </w:r>
          </w:p>
        </w:tc>
        <w:tc>
          <w:tcPr>
            <w:tcBorders>
              <w:top w:color="bdc3c7" w:space="0" w:sz="4" w:val="single"/>
              <w:left w:color="bdc3c7" w:space="0" w:sz="4" w:val="single"/>
              <w:bottom w:color="bdc3c7" w:space="0" w:sz="4" w:val="single"/>
              <w:right w:color="bdc3c7" w:space="0" w:sz="4" w:val="single"/>
            </w:tcBorders>
            <w:shd w:fill="009463" w:val="clear"/>
            <w:tcMar>
              <w:top w:w="60.0" w:type="dxa"/>
              <w:left w:w="100.0" w:type="dxa"/>
              <w:bottom w:w="60.0" w:type="dxa"/>
              <w:right w:w="100.0" w:type="dxa"/>
            </w:tcMar>
          </w:tcPr>
          <w:p w:rsidR="00000000" w:rsidDel="00000000" w:rsidP="00000000" w:rsidRDefault="00000000" w:rsidRPr="00000000" w14:paraId="0000003C">
            <w:pPr>
              <w:rPr/>
            </w:pPr>
            <w:r w:rsidDel="00000000" w:rsidR="00000000" w:rsidRPr="00000000">
              <w:rPr>
                <w:rFonts w:ascii="Arial" w:cs="Arial" w:eastAsia="Arial" w:hAnsi="Arial"/>
                <w:b w:val="1"/>
                <w:bCs w:val="1"/>
                <w:color w:val="ffffff"/>
                <w:sz w:val="17"/>
                <w:szCs w:val="17"/>
                <w:rtl w:val="0"/>
              </w:rPr>
              <w:t xml:space="preserve">Hedge Ratio</w:t>
            </w:r>
            <w:r w:rsidDel="00000000" w:rsidR="00000000" w:rsidRPr="00000000">
              <w:rPr>
                <w:rtl w:val="0"/>
              </w:rPr>
            </w:r>
          </w:p>
        </w:tc>
        <w:tc>
          <w:tcPr>
            <w:tcBorders>
              <w:top w:color="bdc3c7" w:space="0" w:sz="4" w:val="single"/>
              <w:left w:color="bdc3c7" w:space="0" w:sz="4" w:val="single"/>
              <w:bottom w:color="bdc3c7" w:space="0" w:sz="4" w:val="single"/>
              <w:right w:color="bdc3c7" w:space="0" w:sz="4" w:val="single"/>
            </w:tcBorders>
            <w:shd w:fill="009463" w:val="clear"/>
            <w:tcMar>
              <w:top w:w="60.0" w:type="dxa"/>
              <w:left w:w="100.0" w:type="dxa"/>
              <w:bottom w:w="60.0" w:type="dxa"/>
              <w:right w:w="100.0" w:type="dxa"/>
            </w:tcMar>
          </w:tcPr>
          <w:p w:rsidR="00000000" w:rsidDel="00000000" w:rsidP="00000000" w:rsidRDefault="00000000" w:rsidRPr="00000000" w14:paraId="0000003D">
            <w:pPr>
              <w:rPr/>
            </w:pPr>
            <w:r w:rsidDel="00000000" w:rsidR="00000000" w:rsidRPr="00000000">
              <w:rPr>
                <w:rFonts w:ascii="Arial" w:cs="Arial" w:eastAsia="Arial" w:hAnsi="Arial"/>
                <w:b w:val="1"/>
                <w:bCs w:val="1"/>
                <w:color w:val="ffffff"/>
                <w:sz w:val="17"/>
                <w:szCs w:val="17"/>
                <w:rtl w:val="0"/>
              </w:rPr>
              <w:t xml:space="preserve">Typical Instruments</w:t>
            </w:r>
            <w:r w:rsidDel="00000000" w:rsidR="00000000" w:rsidRPr="00000000">
              <w:rPr>
                <w:rtl w:val="0"/>
              </w:rPr>
            </w:r>
          </w:p>
        </w:tc>
      </w:tr>
      <w:tr>
        <w:trPr>
          <w:cantSplit w:val="0"/>
          <w:tblHeader w:val="0"/>
        </w:trPr>
        <w:tc>
          <w:tcPr>
            <w:tcBorders>
              <w:top w:color="bdc3c7" w:space="0" w:sz="4" w:val="single"/>
              <w:left w:color="bdc3c7" w:space="0" w:sz="4" w:val="single"/>
              <w:bottom w:color="bdc3c7" w:space="0" w:sz="4" w:val="single"/>
              <w:right w:color="bdc3c7" w:space="0" w:sz="4" w:val="single"/>
            </w:tcBorders>
            <w:shd w:fill="ffffff" w:val="clear"/>
            <w:tcMar>
              <w:top w:w="60.0" w:type="dxa"/>
              <w:left w:w="100.0" w:type="dxa"/>
              <w:bottom w:w="60.0" w:type="dxa"/>
              <w:right w:w="100.0" w:type="dxa"/>
            </w:tcMar>
          </w:tcPr>
          <w:p w:rsidR="00000000" w:rsidDel="00000000" w:rsidP="00000000" w:rsidRDefault="00000000" w:rsidRPr="00000000" w14:paraId="0000003E">
            <w:pPr>
              <w:rPr/>
            </w:pPr>
            <w:r w:rsidDel="00000000" w:rsidR="00000000" w:rsidRPr="00000000">
              <w:rPr>
                <w:rFonts w:ascii="Arial" w:cs="Arial" w:eastAsia="Arial" w:hAnsi="Arial"/>
                <w:color w:val="1a1a2e"/>
                <w:sz w:val="17"/>
                <w:szCs w:val="17"/>
                <w:rtl w:val="0"/>
              </w:rPr>
              <w:t xml:space="preserve">0–3 months</w:t>
            </w:r>
            <w:r w:rsidDel="00000000" w:rsidR="00000000" w:rsidRPr="00000000">
              <w:rPr>
                <w:rtl w:val="0"/>
              </w:rPr>
            </w:r>
          </w:p>
        </w:tc>
        <w:tc>
          <w:tcPr>
            <w:tcBorders>
              <w:top w:color="bdc3c7" w:space="0" w:sz="4" w:val="single"/>
              <w:left w:color="bdc3c7" w:space="0" w:sz="4" w:val="single"/>
              <w:bottom w:color="bdc3c7" w:space="0" w:sz="4" w:val="single"/>
              <w:right w:color="bdc3c7" w:space="0" w:sz="4" w:val="single"/>
            </w:tcBorders>
            <w:shd w:fill="ffffff" w:val="clear"/>
            <w:tcMar>
              <w:top w:w="60.0" w:type="dxa"/>
              <w:left w:w="100.0" w:type="dxa"/>
              <w:bottom w:w="60.0" w:type="dxa"/>
              <w:right w:w="100.0" w:type="dxa"/>
            </w:tcMar>
          </w:tcPr>
          <w:p w:rsidR="00000000" w:rsidDel="00000000" w:rsidP="00000000" w:rsidRDefault="00000000" w:rsidRPr="00000000" w14:paraId="0000003F">
            <w:pPr>
              <w:rPr/>
            </w:pPr>
            <w:r w:rsidDel="00000000" w:rsidR="00000000" w:rsidRPr="00000000">
              <w:rPr>
                <w:rFonts w:ascii="Arial" w:cs="Arial" w:eastAsia="Arial" w:hAnsi="Arial"/>
                <w:color w:val="1a1a2e"/>
                <w:sz w:val="17"/>
                <w:szCs w:val="17"/>
                <w:rtl w:val="0"/>
              </w:rPr>
              <w:t xml:space="preserve">Committed / invoiced</w:t>
            </w:r>
            <w:r w:rsidDel="00000000" w:rsidR="00000000" w:rsidRPr="00000000">
              <w:rPr>
                <w:rtl w:val="0"/>
              </w:rPr>
            </w:r>
          </w:p>
        </w:tc>
        <w:tc>
          <w:tcPr>
            <w:tcBorders>
              <w:top w:color="bdc3c7" w:space="0" w:sz="4" w:val="single"/>
              <w:left w:color="bdc3c7" w:space="0" w:sz="4" w:val="single"/>
              <w:bottom w:color="bdc3c7" w:space="0" w:sz="4" w:val="single"/>
              <w:right w:color="bdc3c7" w:space="0" w:sz="4" w:val="single"/>
            </w:tcBorders>
            <w:shd w:fill="ffffff" w:val="clear"/>
            <w:tcMar>
              <w:top w:w="60.0" w:type="dxa"/>
              <w:left w:w="100.0" w:type="dxa"/>
              <w:bottom w:w="60.0" w:type="dxa"/>
              <w:right w:w="100.0" w:type="dxa"/>
            </w:tcMar>
          </w:tcPr>
          <w:p w:rsidR="00000000" w:rsidDel="00000000" w:rsidP="00000000" w:rsidRDefault="00000000" w:rsidRPr="00000000" w14:paraId="00000040">
            <w:pPr>
              <w:rPr/>
            </w:pPr>
            <w:r w:rsidDel="00000000" w:rsidR="00000000" w:rsidRPr="00000000">
              <w:rPr>
                <w:rFonts w:ascii="Arial" w:cs="Arial" w:eastAsia="Arial" w:hAnsi="Arial"/>
                <w:color w:val="1a1a2e"/>
                <w:sz w:val="17"/>
                <w:szCs w:val="17"/>
                <w:highlight w:val="yellow"/>
                <w:rtl w:val="0"/>
              </w:rPr>
              <w:t xml:space="preserve">[75–100]</w:t>
            </w:r>
            <w:r w:rsidDel="00000000" w:rsidR="00000000" w:rsidRPr="00000000">
              <w:rPr>
                <w:rFonts w:ascii="Arial" w:cs="Arial" w:eastAsia="Arial" w:hAnsi="Arial"/>
                <w:color w:val="1a1a2e"/>
                <w:sz w:val="17"/>
                <w:szCs w:val="17"/>
                <w:rtl w:val="0"/>
              </w:rPr>
              <w:t xml:space="preserve">%</w:t>
            </w:r>
            <w:r w:rsidDel="00000000" w:rsidR="00000000" w:rsidRPr="00000000">
              <w:rPr>
                <w:rtl w:val="0"/>
              </w:rPr>
            </w:r>
          </w:p>
        </w:tc>
        <w:tc>
          <w:tcPr>
            <w:tcBorders>
              <w:top w:color="bdc3c7" w:space="0" w:sz="4" w:val="single"/>
              <w:left w:color="bdc3c7" w:space="0" w:sz="4" w:val="single"/>
              <w:bottom w:color="bdc3c7" w:space="0" w:sz="4" w:val="single"/>
              <w:right w:color="bdc3c7" w:space="0" w:sz="4" w:val="single"/>
            </w:tcBorders>
            <w:shd w:fill="ffffff" w:val="clear"/>
            <w:tcMar>
              <w:top w:w="60.0" w:type="dxa"/>
              <w:left w:w="100.0" w:type="dxa"/>
              <w:bottom w:w="60.0" w:type="dxa"/>
              <w:right w:w="100.0" w:type="dxa"/>
            </w:tcMar>
          </w:tcPr>
          <w:p w:rsidR="00000000" w:rsidDel="00000000" w:rsidP="00000000" w:rsidRDefault="00000000" w:rsidRPr="00000000" w14:paraId="00000041">
            <w:pPr>
              <w:rPr/>
            </w:pPr>
            <w:r w:rsidDel="00000000" w:rsidR="00000000" w:rsidRPr="00000000">
              <w:rPr>
                <w:rFonts w:ascii="Arial" w:cs="Arial" w:eastAsia="Arial" w:hAnsi="Arial"/>
                <w:color w:val="1a1a2e"/>
                <w:sz w:val="17"/>
                <w:szCs w:val="17"/>
                <w:rtl w:val="0"/>
              </w:rPr>
              <w:t xml:space="preserve">Forwards, spot</w:t>
            </w:r>
            <w:r w:rsidDel="00000000" w:rsidR="00000000" w:rsidRPr="00000000">
              <w:rPr>
                <w:rtl w:val="0"/>
              </w:rPr>
            </w:r>
          </w:p>
        </w:tc>
      </w:tr>
      <w:tr>
        <w:trPr>
          <w:cantSplit w:val="0"/>
          <w:tblHeader w:val="0"/>
        </w:trPr>
        <w:tc>
          <w:tcPr>
            <w:tcBorders>
              <w:top w:color="bdc3c7" w:space="0" w:sz="4" w:val="single"/>
              <w:left w:color="bdc3c7" w:space="0" w:sz="4" w:val="single"/>
              <w:bottom w:color="bdc3c7" w:space="0" w:sz="4" w:val="single"/>
              <w:right w:color="bdc3c7" w:space="0" w:sz="4" w:val="single"/>
            </w:tcBorders>
            <w:shd w:fill="f2f3f4" w:val="clear"/>
            <w:tcMar>
              <w:top w:w="60.0" w:type="dxa"/>
              <w:left w:w="100.0" w:type="dxa"/>
              <w:bottom w:w="60.0" w:type="dxa"/>
              <w:right w:w="100.0" w:type="dxa"/>
            </w:tcMar>
          </w:tcPr>
          <w:p w:rsidR="00000000" w:rsidDel="00000000" w:rsidP="00000000" w:rsidRDefault="00000000" w:rsidRPr="00000000" w14:paraId="00000042">
            <w:pPr>
              <w:rPr/>
            </w:pPr>
            <w:r w:rsidDel="00000000" w:rsidR="00000000" w:rsidRPr="00000000">
              <w:rPr>
                <w:rFonts w:ascii="Arial" w:cs="Arial" w:eastAsia="Arial" w:hAnsi="Arial"/>
                <w:color w:val="1a1a2e"/>
                <w:sz w:val="17"/>
                <w:szCs w:val="17"/>
                <w:rtl w:val="0"/>
              </w:rPr>
              <w:t xml:space="preserve">3–6 months</w:t>
            </w:r>
            <w:r w:rsidDel="00000000" w:rsidR="00000000" w:rsidRPr="00000000">
              <w:rPr>
                <w:rtl w:val="0"/>
              </w:rPr>
            </w:r>
          </w:p>
        </w:tc>
        <w:tc>
          <w:tcPr>
            <w:tcBorders>
              <w:top w:color="bdc3c7" w:space="0" w:sz="4" w:val="single"/>
              <w:left w:color="bdc3c7" w:space="0" w:sz="4" w:val="single"/>
              <w:bottom w:color="bdc3c7" w:space="0" w:sz="4" w:val="single"/>
              <w:right w:color="bdc3c7" w:space="0" w:sz="4" w:val="single"/>
            </w:tcBorders>
            <w:shd w:fill="f2f3f4" w:val="clear"/>
            <w:tcMar>
              <w:top w:w="60.0" w:type="dxa"/>
              <w:left w:w="100.0" w:type="dxa"/>
              <w:bottom w:w="60.0" w:type="dxa"/>
              <w:right w:w="100.0" w:type="dxa"/>
            </w:tcMar>
          </w:tcPr>
          <w:p w:rsidR="00000000" w:rsidDel="00000000" w:rsidP="00000000" w:rsidRDefault="00000000" w:rsidRPr="00000000" w14:paraId="00000043">
            <w:pPr>
              <w:rPr/>
            </w:pPr>
            <w:r w:rsidDel="00000000" w:rsidR="00000000" w:rsidRPr="00000000">
              <w:rPr>
                <w:rFonts w:ascii="Arial" w:cs="Arial" w:eastAsia="Arial" w:hAnsi="Arial"/>
                <w:color w:val="1a1a2e"/>
                <w:sz w:val="17"/>
                <w:szCs w:val="17"/>
                <w:rtl w:val="0"/>
              </w:rPr>
              <w:t xml:space="preserve">Highly probable</w:t>
            </w:r>
            <w:r w:rsidDel="00000000" w:rsidR="00000000" w:rsidRPr="00000000">
              <w:rPr>
                <w:rtl w:val="0"/>
              </w:rPr>
            </w:r>
          </w:p>
        </w:tc>
        <w:tc>
          <w:tcPr>
            <w:tcBorders>
              <w:top w:color="bdc3c7" w:space="0" w:sz="4" w:val="single"/>
              <w:left w:color="bdc3c7" w:space="0" w:sz="4" w:val="single"/>
              <w:bottom w:color="bdc3c7" w:space="0" w:sz="4" w:val="single"/>
              <w:right w:color="bdc3c7" w:space="0" w:sz="4" w:val="single"/>
            </w:tcBorders>
            <w:shd w:fill="f2f3f4" w:val="clear"/>
            <w:tcMar>
              <w:top w:w="60.0" w:type="dxa"/>
              <w:left w:w="100.0" w:type="dxa"/>
              <w:bottom w:w="60.0" w:type="dxa"/>
              <w:right w:w="100.0" w:type="dxa"/>
            </w:tcMar>
          </w:tcPr>
          <w:p w:rsidR="00000000" w:rsidDel="00000000" w:rsidP="00000000" w:rsidRDefault="00000000" w:rsidRPr="00000000" w14:paraId="00000044">
            <w:pPr>
              <w:rPr/>
            </w:pPr>
            <w:r w:rsidDel="00000000" w:rsidR="00000000" w:rsidRPr="00000000">
              <w:rPr>
                <w:rFonts w:ascii="Arial" w:cs="Arial" w:eastAsia="Arial" w:hAnsi="Arial"/>
                <w:color w:val="1a1a2e"/>
                <w:sz w:val="17"/>
                <w:szCs w:val="17"/>
                <w:highlight w:val="yellow"/>
                <w:rtl w:val="0"/>
              </w:rPr>
              <w:t xml:space="preserve">[50–75]</w:t>
            </w:r>
            <w:r w:rsidDel="00000000" w:rsidR="00000000" w:rsidRPr="00000000">
              <w:rPr>
                <w:rFonts w:ascii="Arial" w:cs="Arial" w:eastAsia="Arial" w:hAnsi="Arial"/>
                <w:color w:val="1a1a2e"/>
                <w:sz w:val="17"/>
                <w:szCs w:val="17"/>
                <w:rtl w:val="0"/>
              </w:rPr>
              <w:t xml:space="preserve">%</w:t>
            </w:r>
            <w:r w:rsidDel="00000000" w:rsidR="00000000" w:rsidRPr="00000000">
              <w:rPr>
                <w:rtl w:val="0"/>
              </w:rPr>
            </w:r>
          </w:p>
        </w:tc>
        <w:tc>
          <w:tcPr>
            <w:tcBorders>
              <w:top w:color="bdc3c7" w:space="0" w:sz="4" w:val="single"/>
              <w:left w:color="bdc3c7" w:space="0" w:sz="4" w:val="single"/>
              <w:bottom w:color="bdc3c7" w:space="0" w:sz="4" w:val="single"/>
              <w:right w:color="bdc3c7" w:space="0" w:sz="4" w:val="single"/>
            </w:tcBorders>
            <w:shd w:fill="f2f3f4" w:val="clear"/>
            <w:tcMar>
              <w:top w:w="60.0" w:type="dxa"/>
              <w:left w:w="100.0" w:type="dxa"/>
              <w:bottom w:w="60.0" w:type="dxa"/>
              <w:right w:w="100.0" w:type="dxa"/>
            </w:tcMar>
          </w:tcPr>
          <w:p w:rsidR="00000000" w:rsidDel="00000000" w:rsidP="00000000" w:rsidRDefault="00000000" w:rsidRPr="00000000" w14:paraId="00000045">
            <w:pPr>
              <w:rPr/>
            </w:pPr>
            <w:r w:rsidDel="00000000" w:rsidR="00000000" w:rsidRPr="00000000">
              <w:rPr>
                <w:rFonts w:ascii="Arial" w:cs="Arial" w:eastAsia="Arial" w:hAnsi="Arial"/>
                <w:color w:val="1a1a2e"/>
                <w:sz w:val="17"/>
                <w:szCs w:val="17"/>
                <w:rtl w:val="0"/>
              </w:rPr>
              <w:t xml:space="preserve">Forwards, options</w:t>
            </w:r>
            <w:r w:rsidDel="00000000" w:rsidR="00000000" w:rsidRPr="00000000">
              <w:rPr>
                <w:rtl w:val="0"/>
              </w:rPr>
            </w:r>
          </w:p>
        </w:tc>
      </w:tr>
      <w:tr>
        <w:trPr>
          <w:cantSplit w:val="0"/>
          <w:tblHeader w:val="0"/>
        </w:trPr>
        <w:tc>
          <w:tcPr>
            <w:tcBorders>
              <w:top w:color="bdc3c7" w:space="0" w:sz="4" w:val="single"/>
              <w:left w:color="bdc3c7" w:space="0" w:sz="4" w:val="single"/>
              <w:bottom w:color="bdc3c7" w:space="0" w:sz="4" w:val="single"/>
              <w:right w:color="bdc3c7" w:space="0" w:sz="4" w:val="single"/>
            </w:tcBorders>
            <w:shd w:fill="ffffff" w:val="clear"/>
            <w:tcMar>
              <w:top w:w="60.0" w:type="dxa"/>
              <w:left w:w="100.0" w:type="dxa"/>
              <w:bottom w:w="60.0" w:type="dxa"/>
              <w:right w:w="100.0" w:type="dxa"/>
            </w:tcMar>
          </w:tcPr>
          <w:p w:rsidR="00000000" w:rsidDel="00000000" w:rsidP="00000000" w:rsidRDefault="00000000" w:rsidRPr="00000000" w14:paraId="00000046">
            <w:pPr>
              <w:rPr/>
            </w:pPr>
            <w:r w:rsidDel="00000000" w:rsidR="00000000" w:rsidRPr="00000000">
              <w:rPr>
                <w:rFonts w:ascii="Arial" w:cs="Arial" w:eastAsia="Arial" w:hAnsi="Arial"/>
                <w:color w:val="1a1a2e"/>
                <w:sz w:val="17"/>
                <w:szCs w:val="17"/>
                <w:rtl w:val="0"/>
              </w:rPr>
              <w:t xml:space="preserve">6–12 months</w:t>
            </w:r>
            <w:r w:rsidDel="00000000" w:rsidR="00000000" w:rsidRPr="00000000">
              <w:rPr>
                <w:rtl w:val="0"/>
              </w:rPr>
            </w:r>
          </w:p>
        </w:tc>
        <w:tc>
          <w:tcPr>
            <w:tcBorders>
              <w:top w:color="bdc3c7" w:space="0" w:sz="4" w:val="single"/>
              <w:left w:color="bdc3c7" w:space="0" w:sz="4" w:val="single"/>
              <w:bottom w:color="bdc3c7" w:space="0" w:sz="4" w:val="single"/>
              <w:right w:color="bdc3c7" w:space="0" w:sz="4" w:val="single"/>
            </w:tcBorders>
            <w:shd w:fill="ffffff" w:val="clear"/>
            <w:tcMar>
              <w:top w:w="60.0" w:type="dxa"/>
              <w:left w:w="100.0" w:type="dxa"/>
              <w:bottom w:w="60.0" w:type="dxa"/>
              <w:right w:w="100.0" w:type="dxa"/>
            </w:tcMar>
          </w:tcPr>
          <w:p w:rsidR="00000000" w:rsidDel="00000000" w:rsidP="00000000" w:rsidRDefault="00000000" w:rsidRPr="00000000" w14:paraId="00000047">
            <w:pPr>
              <w:rPr/>
            </w:pPr>
            <w:r w:rsidDel="00000000" w:rsidR="00000000" w:rsidRPr="00000000">
              <w:rPr>
                <w:rFonts w:ascii="Arial" w:cs="Arial" w:eastAsia="Arial" w:hAnsi="Arial"/>
                <w:color w:val="1a1a2e"/>
                <w:sz w:val="17"/>
                <w:szCs w:val="17"/>
                <w:rtl w:val="0"/>
              </w:rPr>
              <w:t xml:space="preserve">Forecast / budgeted</w:t>
            </w:r>
            <w:r w:rsidDel="00000000" w:rsidR="00000000" w:rsidRPr="00000000">
              <w:rPr>
                <w:rtl w:val="0"/>
              </w:rPr>
            </w:r>
          </w:p>
        </w:tc>
        <w:tc>
          <w:tcPr>
            <w:tcBorders>
              <w:top w:color="bdc3c7" w:space="0" w:sz="4" w:val="single"/>
              <w:left w:color="bdc3c7" w:space="0" w:sz="4" w:val="single"/>
              <w:bottom w:color="bdc3c7" w:space="0" w:sz="4" w:val="single"/>
              <w:right w:color="bdc3c7" w:space="0" w:sz="4" w:val="single"/>
            </w:tcBorders>
            <w:shd w:fill="ffffff" w:val="clear"/>
            <w:tcMar>
              <w:top w:w="60.0" w:type="dxa"/>
              <w:left w:w="100.0" w:type="dxa"/>
              <w:bottom w:w="60.0" w:type="dxa"/>
              <w:right w:w="100.0" w:type="dxa"/>
            </w:tcMar>
          </w:tcPr>
          <w:p w:rsidR="00000000" w:rsidDel="00000000" w:rsidP="00000000" w:rsidRDefault="00000000" w:rsidRPr="00000000" w14:paraId="00000048">
            <w:pPr>
              <w:rPr/>
            </w:pPr>
            <w:r w:rsidDel="00000000" w:rsidR="00000000" w:rsidRPr="00000000">
              <w:rPr>
                <w:rFonts w:ascii="Arial" w:cs="Arial" w:eastAsia="Arial" w:hAnsi="Arial"/>
                <w:color w:val="1a1a2e"/>
                <w:sz w:val="17"/>
                <w:szCs w:val="17"/>
                <w:highlight w:val="yellow"/>
                <w:rtl w:val="0"/>
              </w:rPr>
              <w:t xml:space="preserve">[25–50]</w:t>
            </w:r>
            <w:r w:rsidDel="00000000" w:rsidR="00000000" w:rsidRPr="00000000">
              <w:rPr>
                <w:rFonts w:ascii="Arial" w:cs="Arial" w:eastAsia="Arial" w:hAnsi="Arial"/>
                <w:color w:val="1a1a2e"/>
                <w:sz w:val="17"/>
                <w:szCs w:val="17"/>
                <w:rtl w:val="0"/>
              </w:rPr>
              <w:t xml:space="preserve">%</w:t>
            </w:r>
            <w:r w:rsidDel="00000000" w:rsidR="00000000" w:rsidRPr="00000000">
              <w:rPr>
                <w:rtl w:val="0"/>
              </w:rPr>
            </w:r>
          </w:p>
        </w:tc>
        <w:tc>
          <w:tcPr>
            <w:tcBorders>
              <w:top w:color="bdc3c7" w:space="0" w:sz="4" w:val="single"/>
              <w:left w:color="bdc3c7" w:space="0" w:sz="4" w:val="single"/>
              <w:bottom w:color="bdc3c7" w:space="0" w:sz="4" w:val="single"/>
              <w:right w:color="bdc3c7" w:space="0" w:sz="4" w:val="single"/>
            </w:tcBorders>
            <w:shd w:fill="ffffff" w:val="clear"/>
            <w:tcMar>
              <w:top w:w="60.0" w:type="dxa"/>
              <w:left w:w="100.0" w:type="dxa"/>
              <w:bottom w:w="60.0" w:type="dxa"/>
              <w:right w:w="100.0" w:type="dxa"/>
            </w:tcMar>
          </w:tcPr>
          <w:p w:rsidR="00000000" w:rsidDel="00000000" w:rsidP="00000000" w:rsidRDefault="00000000" w:rsidRPr="00000000" w14:paraId="00000049">
            <w:pPr>
              <w:rPr/>
            </w:pPr>
            <w:r w:rsidDel="00000000" w:rsidR="00000000" w:rsidRPr="00000000">
              <w:rPr>
                <w:color w:val="1a1a2e"/>
                <w:sz w:val="17"/>
                <w:szCs w:val="17"/>
                <w:rtl w:val="0"/>
              </w:rPr>
              <w:t xml:space="preserve">F</w:t>
            </w:r>
            <w:r w:rsidDel="00000000" w:rsidR="00000000" w:rsidRPr="00000000">
              <w:rPr>
                <w:rFonts w:ascii="Arial" w:cs="Arial" w:eastAsia="Arial" w:hAnsi="Arial"/>
                <w:color w:val="1a1a2e"/>
                <w:sz w:val="17"/>
                <w:szCs w:val="17"/>
                <w:rtl w:val="0"/>
              </w:rPr>
              <w:t xml:space="preserve">orwards, options</w:t>
            </w:r>
            <w:r w:rsidDel="00000000" w:rsidR="00000000" w:rsidRPr="00000000">
              <w:rPr>
                <w:rtl w:val="0"/>
              </w:rPr>
            </w:r>
          </w:p>
        </w:tc>
      </w:tr>
    </w:tbl>
    <w:p w:rsidR="00000000" w:rsidDel="00000000" w:rsidP="00000000" w:rsidRDefault="00000000" w:rsidRPr="00000000" w14:paraId="0000004A">
      <w:pPr>
        <w:spacing w:after="30" w:lineRule="auto"/>
        <w:rPr/>
      </w:pPr>
      <w:r w:rsidDel="00000000" w:rsidR="00000000" w:rsidRPr="00000000">
        <w:rPr>
          <w:rtl w:val="0"/>
        </w:rPr>
      </w:r>
    </w:p>
    <w:p w:rsidR="00000000" w:rsidDel="00000000" w:rsidP="00000000" w:rsidRDefault="00000000" w:rsidRPr="00000000" w14:paraId="0000004B">
      <w:pPr>
        <w:spacing w:after="70" w:line="260" w:lineRule="auto"/>
        <w:rPr/>
      </w:pPr>
      <w:r w:rsidDel="00000000" w:rsidR="00000000" w:rsidRPr="00000000">
        <w:rPr>
          <w:rFonts w:ascii="Arial" w:cs="Arial" w:eastAsia="Arial" w:hAnsi="Arial"/>
          <w:i w:val="1"/>
          <w:iCs w:val="1"/>
          <w:color w:val="5d6d7e"/>
          <w:sz w:val="17"/>
          <w:szCs w:val="17"/>
          <w:rtl w:val="0"/>
        </w:rPr>
        <w:t xml:space="preserve">[Guidance: Hedge ratios in brackets are illustrative. Set these based on your cash flow predictability, margin sensitivity, and risk appetite. The principle is: hedge more when you’re certain, less when you’re not.]</w:t>
      </w:r>
      <w:r w:rsidDel="00000000" w:rsidR="00000000" w:rsidRPr="00000000">
        <w:rPr>
          <w:rtl w:val="0"/>
        </w:rPr>
      </w:r>
    </w:p>
    <w:p w:rsidR="00000000" w:rsidDel="00000000" w:rsidP="00000000" w:rsidRDefault="00000000" w:rsidRPr="00000000" w14:paraId="0000004C">
      <w:pPr>
        <w:spacing w:after="10" w:lineRule="auto"/>
        <w:rPr/>
      </w:pPr>
      <w:r w:rsidDel="00000000" w:rsidR="00000000" w:rsidRPr="00000000">
        <w:rPr>
          <w:rtl w:val="0"/>
        </w:rPr>
      </w:r>
    </w:p>
    <w:p w:rsidR="00000000" w:rsidDel="00000000" w:rsidP="00000000" w:rsidRDefault="00000000" w:rsidRPr="00000000" w14:paraId="0000004D">
      <w:pPr>
        <w:spacing w:after="70" w:line="260" w:lineRule="auto"/>
        <w:rPr/>
      </w:pPr>
      <w:r w:rsidDel="00000000" w:rsidR="00000000" w:rsidRPr="00000000">
        <w:rPr>
          <w:rFonts w:ascii="Arial" w:cs="Arial" w:eastAsia="Arial" w:hAnsi="Arial"/>
          <w:b w:val="1"/>
          <w:bCs w:val="1"/>
          <w:color w:val="1a1a2e"/>
          <w:sz w:val="19"/>
          <w:szCs w:val="19"/>
          <w:rtl w:val="0"/>
        </w:rPr>
        <w:t xml:space="preserve">Maximum tenor. </w:t>
      </w:r>
      <w:r w:rsidDel="00000000" w:rsidR="00000000" w:rsidRPr="00000000">
        <w:rPr>
          <w:rFonts w:ascii="Arial" w:cs="Arial" w:eastAsia="Arial" w:hAnsi="Arial"/>
          <w:color w:val="1a1a2e"/>
          <w:sz w:val="19"/>
          <w:szCs w:val="19"/>
          <w:rtl w:val="0"/>
        </w:rPr>
        <w:t xml:space="preserve">No hedge shall extend beyond </w:t>
      </w:r>
      <w:r w:rsidDel="00000000" w:rsidR="00000000" w:rsidRPr="00000000">
        <w:rPr>
          <w:rFonts w:ascii="Arial" w:cs="Arial" w:eastAsia="Arial" w:hAnsi="Arial"/>
          <w:color w:val="1a1a2e"/>
          <w:sz w:val="19"/>
          <w:szCs w:val="19"/>
          <w:highlight w:val="yellow"/>
          <w:rtl w:val="0"/>
        </w:rPr>
        <w:t xml:space="preserve">[12]</w:t>
      </w:r>
      <w:r w:rsidDel="00000000" w:rsidR="00000000" w:rsidRPr="00000000">
        <w:rPr>
          <w:rFonts w:ascii="Arial" w:cs="Arial" w:eastAsia="Arial" w:hAnsi="Arial"/>
          <w:color w:val="1a1a2e"/>
          <w:sz w:val="19"/>
          <w:szCs w:val="19"/>
          <w:rtl w:val="0"/>
        </w:rPr>
        <w:t xml:space="preserve"> months without explicit </w:t>
      </w:r>
      <w:r w:rsidDel="00000000" w:rsidR="00000000" w:rsidRPr="00000000">
        <w:rPr>
          <w:rFonts w:ascii="Arial" w:cs="Arial" w:eastAsia="Arial" w:hAnsi="Arial"/>
          <w:color w:val="1a1a2e"/>
          <w:sz w:val="19"/>
          <w:szCs w:val="19"/>
          <w:highlight w:val="yellow"/>
          <w:rtl w:val="0"/>
        </w:rPr>
        <w:t xml:space="preserve">[CFO/Board]</w:t>
      </w:r>
      <w:r w:rsidDel="00000000" w:rsidR="00000000" w:rsidRPr="00000000">
        <w:rPr>
          <w:rFonts w:ascii="Arial" w:cs="Arial" w:eastAsia="Arial" w:hAnsi="Arial"/>
          <w:color w:val="1a1a2e"/>
          <w:sz w:val="19"/>
          <w:szCs w:val="19"/>
          <w:rtl w:val="0"/>
        </w:rPr>
        <w:t xml:space="preserve"> approval. Longer tenors increase counterparty credit exposure and reduce the reliability of the underlying cash flow forecast.</w:t>
      </w:r>
      <w:r w:rsidDel="00000000" w:rsidR="00000000" w:rsidRPr="00000000">
        <w:rPr>
          <w:rtl w:val="0"/>
        </w:rPr>
      </w:r>
    </w:p>
    <w:p w:rsidR="00000000" w:rsidDel="00000000" w:rsidP="00000000" w:rsidRDefault="00000000" w:rsidRPr="00000000" w14:paraId="0000004E">
      <w:pPr>
        <w:pStyle w:val="Heading2"/>
        <w:spacing w:after="60" w:before="160" w:lineRule="auto"/>
        <w:rPr/>
      </w:pPr>
      <w:r w:rsidDel="00000000" w:rsidR="00000000" w:rsidRPr="00000000">
        <w:rPr>
          <w:rFonts w:ascii="Arial" w:cs="Arial" w:eastAsia="Arial" w:hAnsi="Arial"/>
          <w:b w:val="1"/>
          <w:bCs w:val="1"/>
          <w:color w:val="009463"/>
          <w:sz w:val="21"/>
          <w:szCs w:val="21"/>
          <w:rtl w:val="0"/>
        </w:rPr>
        <w:t xml:space="preserve">4.2 Authorised Instruments</w:t>
      </w:r>
      <w:r w:rsidDel="00000000" w:rsidR="00000000" w:rsidRPr="00000000">
        <w:rPr>
          <w:rtl w:val="0"/>
        </w:rPr>
      </w:r>
    </w:p>
    <w:p w:rsidR="00000000" w:rsidDel="00000000" w:rsidP="00000000" w:rsidRDefault="00000000" w:rsidRPr="00000000" w14:paraId="0000004F">
      <w:pPr>
        <w:spacing w:after="70" w:line="260" w:lineRule="auto"/>
        <w:rPr/>
      </w:pPr>
      <w:r w:rsidDel="00000000" w:rsidR="00000000" w:rsidRPr="00000000">
        <w:rPr>
          <w:rFonts w:ascii="Arial" w:cs="Arial" w:eastAsia="Arial" w:hAnsi="Arial"/>
          <w:color w:val="1a1a2e"/>
          <w:sz w:val="19"/>
          <w:szCs w:val="19"/>
          <w:rtl w:val="0"/>
        </w:rPr>
        <w:t xml:space="preserve">The company may use the following instruments to hedge FX exposures:</w:t>
      </w: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60" w:lineRule="auto"/>
        <w:ind w:left="500" w:right="0" w:hanging="250"/>
        <w:jc w:val="left"/>
        <w:rPr/>
      </w:pPr>
      <w:r w:rsidDel="00000000" w:rsidR="00000000" w:rsidRPr="00000000">
        <w:rPr>
          <w:rFonts w:ascii="Arial" w:cs="Arial" w:eastAsia="Arial" w:hAnsi="Arial"/>
          <w:b w:val="1"/>
          <w:bCs w:val="1"/>
          <w:i w:val="0"/>
          <w:iCs w:val="0"/>
          <w:smallCaps w:val="0"/>
          <w:strike w:val="0"/>
          <w:color w:val="1a1a2e"/>
          <w:sz w:val="19"/>
          <w:szCs w:val="19"/>
          <w:u w:val="none"/>
          <w:shd w:fill="auto" w:val="clear"/>
          <w:vertAlign w:val="baseline"/>
          <w:rtl w:val="0"/>
        </w:rPr>
        <w:t xml:space="preserve">FX Forward contracts: </w:t>
      </w:r>
      <w:r w:rsidDel="00000000" w:rsidR="00000000" w:rsidRPr="00000000">
        <w:rPr>
          <w:rFonts w:ascii="Arial" w:cs="Arial" w:eastAsia="Arial" w:hAnsi="Arial"/>
          <w:b w:val="0"/>
          <w:bCs w:val="0"/>
          <w:i w:val="0"/>
          <w:iCs w:val="0"/>
          <w:smallCaps w:val="0"/>
          <w:strike w:val="0"/>
          <w:color w:val="1a1a2e"/>
          <w:sz w:val="19"/>
          <w:szCs w:val="19"/>
          <w:u w:val="none"/>
          <w:shd w:fill="auto" w:val="clear"/>
          <w:vertAlign w:val="baseline"/>
          <w:rtl w:val="0"/>
        </w:rPr>
        <w:t xml:space="preserve">The primary hedging tool. Lock in an exchange rate for a future date. No upfront cost, but the company is committed to the contracted rate.</w:t>
      </w: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60" w:lineRule="auto"/>
        <w:ind w:left="500" w:right="0" w:hanging="250"/>
        <w:jc w:val="left"/>
        <w:rPr/>
      </w:pPr>
      <w:r w:rsidDel="00000000" w:rsidR="00000000" w:rsidRPr="00000000">
        <w:rPr>
          <w:rFonts w:ascii="Arial" w:cs="Arial" w:eastAsia="Arial" w:hAnsi="Arial"/>
          <w:b w:val="1"/>
          <w:bCs w:val="1"/>
          <w:i w:val="0"/>
          <w:iCs w:val="0"/>
          <w:smallCaps w:val="0"/>
          <w:strike w:val="0"/>
          <w:color w:val="1a1a2e"/>
          <w:sz w:val="19"/>
          <w:szCs w:val="19"/>
          <w:u w:val="none"/>
          <w:shd w:fill="auto" w:val="clear"/>
          <w:vertAlign w:val="baseline"/>
          <w:rtl w:val="0"/>
        </w:rPr>
        <w:t xml:space="preserve">Purchased FX Options: </w:t>
      </w:r>
      <w:r w:rsidDel="00000000" w:rsidR="00000000" w:rsidRPr="00000000">
        <w:rPr>
          <w:rFonts w:ascii="Arial" w:cs="Arial" w:eastAsia="Arial" w:hAnsi="Arial"/>
          <w:b w:val="0"/>
          <w:bCs w:val="0"/>
          <w:i w:val="0"/>
          <w:iCs w:val="0"/>
          <w:smallCaps w:val="0"/>
          <w:strike w:val="0"/>
          <w:color w:val="1a1a2e"/>
          <w:sz w:val="19"/>
          <w:szCs w:val="19"/>
          <w:u w:val="none"/>
          <w:shd w:fill="auto" w:val="clear"/>
          <w:vertAlign w:val="baseline"/>
          <w:rtl w:val="0"/>
        </w:rPr>
        <w:t xml:space="preserve">Provide downside protection while preserving upside. The company pays an upfront premium. Suitable where exposure is probable but not certain, or where budget protection with flexibility is required.</w:t>
      </w: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60" w:lineRule="auto"/>
        <w:ind w:left="500" w:right="0" w:hanging="250"/>
        <w:jc w:val="left"/>
        <w:rPr/>
      </w:pPr>
      <w:r w:rsidDel="00000000" w:rsidR="00000000" w:rsidRPr="00000000">
        <w:rPr>
          <w:rFonts w:ascii="Arial" w:cs="Arial" w:eastAsia="Arial" w:hAnsi="Arial"/>
          <w:b w:val="1"/>
          <w:bCs w:val="1"/>
          <w:i w:val="0"/>
          <w:iCs w:val="0"/>
          <w:smallCaps w:val="0"/>
          <w:strike w:val="0"/>
          <w:color w:val="1a1a2e"/>
          <w:sz w:val="19"/>
          <w:szCs w:val="19"/>
          <w:u w:val="none"/>
          <w:shd w:fill="auto" w:val="clear"/>
          <w:vertAlign w:val="baseline"/>
          <w:rtl w:val="0"/>
        </w:rPr>
        <w:t xml:space="preserve">FX Swaps: </w:t>
      </w:r>
      <w:r w:rsidDel="00000000" w:rsidR="00000000" w:rsidRPr="00000000">
        <w:rPr>
          <w:rFonts w:ascii="Arial" w:cs="Arial" w:eastAsia="Arial" w:hAnsi="Arial"/>
          <w:b w:val="0"/>
          <w:bCs w:val="0"/>
          <w:i w:val="0"/>
          <w:iCs w:val="0"/>
          <w:smallCaps w:val="0"/>
          <w:strike w:val="0"/>
          <w:color w:val="1a1a2e"/>
          <w:sz w:val="19"/>
          <w:szCs w:val="19"/>
          <w:u w:val="none"/>
          <w:shd w:fill="auto" w:val="clear"/>
          <w:vertAlign w:val="baseline"/>
          <w:rtl w:val="0"/>
        </w:rPr>
        <w:t xml:space="preserve">Used to manage the timing of currency flows — for example, rolling a maturing forward or bridging a gap between receipt and payment dates.</w:t>
      </w: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60" w:lineRule="auto"/>
        <w:ind w:left="500" w:right="0" w:hanging="250"/>
        <w:jc w:val="left"/>
        <w:rPr/>
      </w:pPr>
      <w:r w:rsidDel="00000000" w:rsidR="00000000" w:rsidRPr="00000000">
        <w:rPr>
          <w:rFonts w:ascii="Arial" w:cs="Arial" w:eastAsia="Arial" w:hAnsi="Arial"/>
          <w:b w:val="1"/>
          <w:bCs w:val="1"/>
          <w:i w:val="0"/>
          <w:iCs w:val="0"/>
          <w:smallCaps w:val="0"/>
          <w:strike w:val="0"/>
          <w:color w:val="1a1a2e"/>
          <w:sz w:val="19"/>
          <w:szCs w:val="19"/>
          <w:u w:val="none"/>
          <w:shd w:fill="auto" w:val="clear"/>
          <w:vertAlign w:val="baseline"/>
          <w:rtl w:val="0"/>
        </w:rPr>
        <w:t xml:space="preserve">Structured options (zero-cost collars, risk reversals): </w:t>
      </w:r>
      <w:r w:rsidDel="00000000" w:rsidR="00000000" w:rsidRPr="00000000">
        <w:rPr>
          <w:rFonts w:ascii="Arial" w:cs="Arial" w:eastAsia="Arial" w:hAnsi="Arial"/>
          <w:b w:val="0"/>
          <w:bCs w:val="0"/>
          <w:i w:val="0"/>
          <w:iCs w:val="0"/>
          <w:smallCaps w:val="0"/>
          <w:strike w:val="0"/>
          <w:color w:val="1a1a2e"/>
          <w:sz w:val="19"/>
          <w:szCs w:val="19"/>
          <w:u w:val="none"/>
          <w:shd w:fill="auto" w:val="clear"/>
          <w:vertAlign w:val="baseline"/>
          <w:rtl w:val="0"/>
        </w:rPr>
        <w:t xml:space="preserve">Permitted only where the structure is fully understood by the CFO, does not create leveraged or unlimited downside exposure, and any premium received does not exceed the premium paid.</w:t>
      </w:r>
      <w:r w:rsidDel="00000000" w:rsidR="00000000" w:rsidRPr="00000000">
        <w:rPr>
          <w:rtl w:val="0"/>
        </w:rPr>
      </w:r>
    </w:p>
    <w:p w:rsidR="00000000" w:rsidDel="00000000" w:rsidP="00000000" w:rsidRDefault="00000000" w:rsidRPr="00000000" w14:paraId="00000054">
      <w:pPr>
        <w:spacing w:after="20" w:lineRule="auto"/>
        <w:rPr/>
      </w:pPr>
      <w:r w:rsidDel="00000000" w:rsidR="00000000" w:rsidRPr="00000000">
        <w:rPr>
          <w:rtl w:val="0"/>
        </w:rPr>
      </w:r>
    </w:p>
    <w:p w:rsidR="00000000" w:rsidDel="00000000" w:rsidP="00000000" w:rsidRDefault="00000000" w:rsidRPr="00000000" w14:paraId="00000055">
      <w:pPr>
        <w:spacing w:after="70" w:line="260" w:lineRule="auto"/>
        <w:rPr/>
      </w:pPr>
      <w:r w:rsidDel="00000000" w:rsidR="00000000" w:rsidRPr="00000000">
        <w:rPr>
          <w:rFonts w:ascii="Arial" w:cs="Arial" w:eastAsia="Arial" w:hAnsi="Arial"/>
          <w:i w:val="1"/>
          <w:iCs w:val="1"/>
          <w:color w:val="5d6d7e"/>
          <w:sz w:val="17"/>
          <w:szCs w:val="17"/>
          <w:rtl w:val="0"/>
        </w:rPr>
        <w:t xml:space="preserve">[Guidance: Add or remove instruments as appropriate to your business. The key principle is that authorised personnel should be able to explain any instrument they use to the board, including its full profit/loss profile under stress.]</w:t>
      </w:r>
      <w:r w:rsidDel="00000000" w:rsidR="00000000" w:rsidRPr="00000000">
        <w:rPr>
          <w:rtl w:val="0"/>
        </w:rPr>
      </w:r>
    </w:p>
    <w:p w:rsidR="00000000" w:rsidDel="00000000" w:rsidP="00000000" w:rsidRDefault="00000000" w:rsidRPr="00000000" w14:paraId="00000056">
      <w:pPr>
        <w:pStyle w:val="Heading2"/>
        <w:spacing w:after="60" w:before="160" w:lineRule="auto"/>
        <w:rPr/>
      </w:pPr>
      <w:r w:rsidDel="00000000" w:rsidR="00000000" w:rsidRPr="00000000">
        <w:rPr>
          <w:rFonts w:ascii="Arial" w:cs="Arial" w:eastAsia="Arial" w:hAnsi="Arial"/>
          <w:b w:val="1"/>
          <w:bCs w:val="1"/>
          <w:color w:val="009463"/>
          <w:sz w:val="21"/>
          <w:szCs w:val="21"/>
          <w:rtl w:val="0"/>
        </w:rPr>
        <w:t xml:space="preserve">4.3 Prohibited Activities</w:t>
      </w: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0" w:line="260" w:lineRule="auto"/>
        <w:ind w:left="500" w:right="0" w:hanging="250"/>
        <w:jc w:val="left"/>
        <w:rPr/>
      </w:pPr>
      <w:r w:rsidDel="00000000" w:rsidR="00000000" w:rsidRPr="00000000">
        <w:rPr>
          <w:rFonts w:ascii="Arial" w:cs="Arial" w:eastAsia="Arial" w:hAnsi="Arial"/>
          <w:b w:val="0"/>
          <w:bCs w:val="0"/>
          <w:i w:val="0"/>
          <w:iCs w:val="0"/>
          <w:smallCaps w:val="0"/>
          <w:strike w:val="0"/>
          <w:color w:val="1a1a2e"/>
          <w:sz w:val="19"/>
          <w:szCs w:val="19"/>
          <w:u w:val="none"/>
          <w:shd w:fill="auto" w:val="clear"/>
          <w:vertAlign w:val="baseline"/>
          <w:rtl w:val="0"/>
        </w:rPr>
        <w:t xml:space="preserve">The use of derivative instruments for speculative purposes is expressly prohibited.</w:t>
      </w:r>
    </w:p>
    <w:p w:rsidR="00000000" w:rsidDel="00000000" w:rsidP="00000000" w:rsidRDefault="00000000" w:rsidRPr="00000000" w14:paraId="00000058">
      <w:pPr>
        <w:numPr>
          <w:ilvl w:val="0"/>
          <w:numId w:val="2"/>
        </w:numPr>
        <w:spacing w:after="40" w:line="260" w:lineRule="auto"/>
        <w:ind w:left="500" w:hanging="250"/>
        <w:rPr>
          <w:color w:val="1a1a2e"/>
        </w:rPr>
      </w:pPr>
      <w:r w:rsidDel="00000000" w:rsidR="00000000" w:rsidRPr="00000000">
        <w:rPr>
          <w:color w:val="1a1a2e"/>
          <w:rtl w:val="0"/>
        </w:rPr>
        <w:t xml:space="preserve">Transactions in currencies to which there is no exposure is prohibited.</w:t>
      </w:r>
    </w:p>
    <w:p w:rsidR="00000000" w:rsidDel="00000000" w:rsidP="00000000" w:rsidRDefault="00000000" w:rsidRPr="00000000" w14:paraId="0000005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0" w:line="260" w:lineRule="auto"/>
        <w:ind w:left="500" w:right="0" w:hanging="250"/>
        <w:jc w:val="left"/>
        <w:rPr/>
      </w:pPr>
      <w:r w:rsidDel="00000000" w:rsidR="00000000" w:rsidRPr="00000000">
        <w:rPr>
          <w:rFonts w:ascii="Arial" w:cs="Arial" w:eastAsia="Arial" w:hAnsi="Arial"/>
          <w:b w:val="0"/>
          <w:bCs w:val="0"/>
          <w:i w:val="0"/>
          <w:iCs w:val="0"/>
          <w:smallCaps w:val="0"/>
          <w:strike w:val="0"/>
          <w:color w:val="1a1a2e"/>
          <w:sz w:val="19"/>
          <w:szCs w:val="19"/>
          <w:u w:val="none"/>
          <w:shd w:fill="auto" w:val="clear"/>
          <w:vertAlign w:val="baseline"/>
          <w:rtl w:val="0"/>
        </w:rPr>
        <w:t xml:space="preserve">Leveraged derivative structures (e.g. leveraged forwards, accumulators, target redemption forwards) are prohibited.</w:t>
      </w: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0" w:line="260" w:lineRule="auto"/>
        <w:ind w:left="500" w:right="0" w:hanging="250"/>
        <w:jc w:val="left"/>
        <w:rPr/>
      </w:pPr>
      <w:r w:rsidDel="00000000" w:rsidR="00000000" w:rsidRPr="00000000">
        <w:rPr>
          <w:rFonts w:ascii="Arial" w:cs="Arial" w:eastAsia="Arial" w:hAnsi="Arial"/>
          <w:b w:val="0"/>
          <w:bCs w:val="0"/>
          <w:i w:val="0"/>
          <w:iCs w:val="0"/>
          <w:smallCaps w:val="0"/>
          <w:strike w:val="0"/>
          <w:color w:val="1a1a2e"/>
          <w:sz w:val="19"/>
          <w:szCs w:val="19"/>
          <w:u w:val="none"/>
          <w:shd w:fill="auto" w:val="clear"/>
          <w:vertAlign w:val="baseline"/>
          <w:rtl w:val="0"/>
        </w:rPr>
        <w:t xml:space="preserve">Net selling of option premium (i.e. structures where the company is a net writer of options) is prohibited.</w:t>
      </w: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0" w:line="260" w:lineRule="auto"/>
        <w:ind w:left="500" w:right="0" w:hanging="250"/>
        <w:jc w:val="left"/>
        <w:rPr/>
      </w:pPr>
      <w:r w:rsidDel="00000000" w:rsidR="00000000" w:rsidRPr="00000000">
        <w:rPr>
          <w:rFonts w:ascii="Arial" w:cs="Arial" w:eastAsia="Arial" w:hAnsi="Arial"/>
          <w:b w:val="0"/>
          <w:bCs w:val="0"/>
          <w:i w:val="0"/>
          <w:iCs w:val="0"/>
          <w:smallCaps w:val="0"/>
          <w:strike w:val="0"/>
          <w:color w:val="1a1a2e"/>
          <w:sz w:val="19"/>
          <w:szCs w:val="19"/>
          <w:u w:val="none"/>
          <w:shd w:fill="auto" w:val="clear"/>
          <w:vertAlign w:val="baseline"/>
          <w:rtl w:val="0"/>
        </w:rPr>
        <w:t xml:space="preserve">Historical rate rollovers on expiring forwards are only permitted where justified by changes in the timing of underlying exposures (e.g. delayed invoice payment), and must be documented.</w:t>
      </w: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0" w:line="260" w:lineRule="auto"/>
        <w:ind w:left="500" w:right="0" w:hanging="250"/>
        <w:jc w:val="left"/>
        <w:rPr/>
      </w:pPr>
      <w:r w:rsidDel="00000000" w:rsidR="00000000" w:rsidRPr="00000000">
        <w:rPr>
          <w:rFonts w:ascii="Arial" w:cs="Arial" w:eastAsia="Arial" w:hAnsi="Arial"/>
          <w:b w:val="0"/>
          <w:bCs w:val="0"/>
          <w:i w:val="0"/>
          <w:iCs w:val="0"/>
          <w:smallCaps w:val="0"/>
          <w:strike w:val="0"/>
          <w:color w:val="1a1a2e"/>
          <w:sz w:val="19"/>
          <w:szCs w:val="19"/>
          <w:u w:val="none"/>
          <w:shd w:fill="auto" w:val="clear"/>
          <w:vertAlign w:val="baseline"/>
          <w:rtl w:val="0"/>
        </w:rPr>
        <w:t xml:space="preserve">Over-hedging: the notional amount of hedges in any currency must not exceed the forecast net exposure for that currency and period.</w:t>
      </w:r>
      <w:r w:rsidDel="00000000" w:rsidR="00000000" w:rsidRPr="00000000">
        <w:rPr>
          <w:rtl w:val="0"/>
        </w:rPr>
      </w:r>
    </w:p>
    <w:p w:rsidR="00000000" w:rsidDel="00000000" w:rsidP="00000000" w:rsidRDefault="00000000" w:rsidRPr="00000000" w14:paraId="0000005D">
      <w:pPr>
        <w:pStyle w:val="Heading1"/>
        <w:spacing w:after="80" w:befor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05E">
      <w:pPr>
        <w:pStyle w:val="Heading1"/>
        <w:spacing w:after="80" w:before="240" w:lineRule="auto"/>
        <w:rPr/>
      </w:pPr>
      <w:r w:rsidDel="00000000" w:rsidR="00000000" w:rsidRPr="00000000">
        <w:rPr>
          <w:rFonts w:ascii="Arial" w:cs="Arial" w:eastAsia="Arial" w:hAnsi="Arial"/>
          <w:b w:val="1"/>
          <w:bCs w:val="1"/>
          <w:color w:val="009463"/>
          <w:sz w:val="25"/>
          <w:szCs w:val="25"/>
          <w:rtl w:val="0"/>
        </w:rPr>
        <w:t xml:space="preserve">5. Authorisation and Governance</w:t>
      </w:r>
      <w:r w:rsidDel="00000000" w:rsidR="00000000" w:rsidRPr="00000000">
        <w:rPr>
          <w:rtl w:val="0"/>
        </w:rPr>
      </w:r>
    </w:p>
    <w:p w:rsidR="00000000" w:rsidDel="00000000" w:rsidP="00000000" w:rsidRDefault="00000000" w:rsidRPr="00000000" w14:paraId="0000005F">
      <w:pPr>
        <w:pStyle w:val="Heading2"/>
        <w:spacing w:after="60" w:before="160" w:lineRule="auto"/>
        <w:rPr/>
      </w:pPr>
      <w:r w:rsidDel="00000000" w:rsidR="00000000" w:rsidRPr="00000000">
        <w:rPr>
          <w:rFonts w:ascii="Arial" w:cs="Arial" w:eastAsia="Arial" w:hAnsi="Arial"/>
          <w:b w:val="1"/>
          <w:bCs w:val="1"/>
          <w:color w:val="009463"/>
          <w:sz w:val="21"/>
          <w:szCs w:val="21"/>
          <w:rtl w:val="0"/>
        </w:rPr>
        <w:t xml:space="preserve">5.1 Authorised Representatives</w:t>
      </w:r>
      <w:r w:rsidDel="00000000" w:rsidR="00000000" w:rsidRPr="00000000">
        <w:rPr>
          <w:rtl w:val="0"/>
        </w:rPr>
      </w:r>
    </w:p>
    <w:p w:rsidR="00000000" w:rsidDel="00000000" w:rsidP="00000000" w:rsidRDefault="00000000" w:rsidRPr="00000000" w14:paraId="00000060">
      <w:pPr>
        <w:spacing w:after="70" w:line="260" w:lineRule="auto"/>
        <w:rPr/>
      </w:pPr>
      <w:r w:rsidDel="00000000" w:rsidR="00000000" w:rsidRPr="00000000">
        <w:rPr>
          <w:rFonts w:ascii="Arial" w:cs="Arial" w:eastAsia="Arial" w:hAnsi="Arial"/>
          <w:color w:val="1a1a2e"/>
          <w:sz w:val="19"/>
          <w:szCs w:val="19"/>
          <w:rtl w:val="0"/>
        </w:rPr>
        <w:t xml:space="preserve">Only individuals holding the following positions, who possess the necessary skill, training, and board approval, may make hedging decisions and execute FX transactions on behalf of the company:</w:t>
      </w:r>
      <w:r w:rsidDel="00000000" w:rsidR="00000000" w:rsidRPr="00000000">
        <w:rPr>
          <w:rtl w:val="0"/>
        </w:rPr>
      </w:r>
    </w:p>
    <w:p w:rsidR="00000000" w:rsidDel="00000000" w:rsidP="00000000" w:rsidRDefault="00000000" w:rsidRPr="00000000" w14:paraId="00000061">
      <w:pPr>
        <w:spacing w:after="10" w:lineRule="auto"/>
        <w:rPr/>
      </w:pPr>
      <w:r w:rsidDel="00000000" w:rsidR="00000000" w:rsidRPr="00000000">
        <w:rPr>
          <w:rtl w:val="0"/>
        </w:rPr>
      </w:r>
    </w:p>
    <w:tbl>
      <w:tblPr>
        <w:tblStyle w:val="Table4"/>
        <w:tblW w:w="93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00"/>
        <w:gridCol w:w="3103"/>
        <w:gridCol w:w="3103"/>
        <w:tblGridChange w:id="0">
          <w:tblGrid>
            <w:gridCol w:w="3100"/>
            <w:gridCol w:w="3103"/>
            <w:gridCol w:w="3103"/>
          </w:tblGrid>
        </w:tblGridChange>
      </w:tblGrid>
      <w:tr>
        <w:trPr>
          <w:cantSplit w:val="0"/>
          <w:tblHeader w:val="0"/>
        </w:trPr>
        <w:tc>
          <w:tcPr>
            <w:tcBorders>
              <w:top w:color="bdc3c7" w:space="0" w:sz="4" w:val="single"/>
              <w:left w:color="bdc3c7" w:space="0" w:sz="4" w:val="single"/>
              <w:bottom w:color="bdc3c7" w:space="0" w:sz="4" w:val="single"/>
              <w:right w:color="bdc3c7" w:space="0" w:sz="4" w:val="single"/>
            </w:tcBorders>
            <w:shd w:fill="009463" w:val="clear"/>
            <w:tcMar>
              <w:top w:w="60.0" w:type="dxa"/>
              <w:left w:w="100.0" w:type="dxa"/>
              <w:bottom w:w="60.0" w:type="dxa"/>
              <w:right w:w="100.0" w:type="dxa"/>
            </w:tcMar>
          </w:tcPr>
          <w:p w:rsidR="00000000" w:rsidDel="00000000" w:rsidP="00000000" w:rsidRDefault="00000000" w:rsidRPr="00000000" w14:paraId="00000062">
            <w:pPr>
              <w:rPr/>
            </w:pPr>
            <w:r w:rsidDel="00000000" w:rsidR="00000000" w:rsidRPr="00000000">
              <w:rPr>
                <w:rFonts w:ascii="Arial" w:cs="Arial" w:eastAsia="Arial" w:hAnsi="Arial"/>
                <w:b w:val="1"/>
                <w:bCs w:val="1"/>
                <w:color w:val="ffffff"/>
                <w:sz w:val="17"/>
                <w:szCs w:val="17"/>
                <w:rtl w:val="0"/>
              </w:rPr>
              <w:t xml:space="preserve">Role</w:t>
            </w:r>
            <w:r w:rsidDel="00000000" w:rsidR="00000000" w:rsidRPr="00000000">
              <w:rPr>
                <w:rtl w:val="0"/>
              </w:rPr>
            </w:r>
          </w:p>
        </w:tc>
        <w:tc>
          <w:tcPr>
            <w:tcBorders>
              <w:top w:color="bdc3c7" w:space="0" w:sz="4" w:val="single"/>
              <w:left w:color="bdc3c7" w:space="0" w:sz="4" w:val="single"/>
              <w:bottom w:color="bdc3c7" w:space="0" w:sz="4" w:val="single"/>
              <w:right w:color="bdc3c7" w:space="0" w:sz="4" w:val="single"/>
            </w:tcBorders>
            <w:shd w:fill="009463" w:val="clear"/>
            <w:tcMar>
              <w:top w:w="60.0" w:type="dxa"/>
              <w:left w:w="100.0" w:type="dxa"/>
              <w:bottom w:w="60.0" w:type="dxa"/>
              <w:right w:w="100.0" w:type="dxa"/>
            </w:tcMar>
          </w:tcPr>
          <w:p w:rsidR="00000000" w:rsidDel="00000000" w:rsidP="00000000" w:rsidRDefault="00000000" w:rsidRPr="00000000" w14:paraId="00000063">
            <w:pPr>
              <w:rPr/>
            </w:pPr>
            <w:r w:rsidDel="00000000" w:rsidR="00000000" w:rsidRPr="00000000">
              <w:rPr>
                <w:rFonts w:ascii="Arial" w:cs="Arial" w:eastAsia="Arial" w:hAnsi="Arial"/>
                <w:b w:val="1"/>
                <w:bCs w:val="1"/>
                <w:color w:val="ffffff"/>
                <w:sz w:val="17"/>
                <w:szCs w:val="17"/>
                <w:rtl w:val="0"/>
              </w:rPr>
              <w:t xml:space="preserve">Authority</w:t>
            </w:r>
            <w:r w:rsidDel="00000000" w:rsidR="00000000" w:rsidRPr="00000000">
              <w:rPr>
                <w:rtl w:val="0"/>
              </w:rPr>
            </w:r>
          </w:p>
        </w:tc>
        <w:tc>
          <w:tcPr>
            <w:tcBorders>
              <w:top w:color="bdc3c7" w:space="0" w:sz="4" w:val="single"/>
              <w:left w:color="bdc3c7" w:space="0" w:sz="4" w:val="single"/>
              <w:bottom w:color="bdc3c7" w:space="0" w:sz="4" w:val="single"/>
              <w:right w:color="bdc3c7" w:space="0" w:sz="4" w:val="single"/>
            </w:tcBorders>
            <w:shd w:fill="009463" w:val="clear"/>
            <w:tcMar>
              <w:top w:w="60.0" w:type="dxa"/>
              <w:left w:w="100.0" w:type="dxa"/>
              <w:bottom w:w="60.0" w:type="dxa"/>
              <w:right w:w="100.0" w:type="dxa"/>
            </w:tcMar>
          </w:tcPr>
          <w:p w:rsidR="00000000" w:rsidDel="00000000" w:rsidP="00000000" w:rsidRDefault="00000000" w:rsidRPr="00000000" w14:paraId="00000064">
            <w:pPr>
              <w:rPr/>
            </w:pPr>
            <w:r w:rsidDel="00000000" w:rsidR="00000000" w:rsidRPr="00000000">
              <w:rPr>
                <w:rFonts w:ascii="Arial" w:cs="Arial" w:eastAsia="Arial" w:hAnsi="Arial"/>
                <w:b w:val="1"/>
                <w:bCs w:val="1"/>
                <w:color w:val="ffffff"/>
                <w:sz w:val="17"/>
                <w:szCs w:val="17"/>
                <w:rtl w:val="0"/>
              </w:rPr>
              <w:t xml:space="preserve">Limit</w:t>
            </w:r>
            <w:r w:rsidDel="00000000" w:rsidR="00000000" w:rsidRPr="00000000">
              <w:rPr>
                <w:rtl w:val="0"/>
              </w:rPr>
            </w:r>
          </w:p>
        </w:tc>
      </w:tr>
      <w:tr>
        <w:trPr>
          <w:cantSplit w:val="0"/>
          <w:tblHeader w:val="0"/>
        </w:trPr>
        <w:tc>
          <w:tcPr>
            <w:tcBorders>
              <w:top w:color="bdc3c7" w:space="0" w:sz="4" w:val="single"/>
              <w:left w:color="bdc3c7" w:space="0" w:sz="4" w:val="single"/>
              <w:bottom w:color="bdc3c7" w:space="0" w:sz="4" w:val="single"/>
              <w:right w:color="bdc3c7" w:space="0" w:sz="4" w:val="single"/>
            </w:tcBorders>
            <w:shd w:fill="ffffff" w:val="clear"/>
            <w:tcMar>
              <w:top w:w="60.0" w:type="dxa"/>
              <w:left w:w="100.0" w:type="dxa"/>
              <w:bottom w:w="60.0" w:type="dxa"/>
              <w:right w:w="100.0" w:type="dxa"/>
            </w:tcMar>
          </w:tcPr>
          <w:p w:rsidR="00000000" w:rsidDel="00000000" w:rsidP="00000000" w:rsidRDefault="00000000" w:rsidRPr="00000000" w14:paraId="00000065">
            <w:pPr>
              <w:rPr>
                <w:highlight w:val="yellow"/>
              </w:rPr>
            </w:pPr>
            <w:r w:rsidDel="00000000" w:rsidR="00000000" w:rsidRPr="00000000">
              <w:rPr>
                <w:rFonts w:ascii="Arial" w:cs="Arial" w:eastAsia="Arial" w:hAnsi="Arial"/>
                <w:color w:val="1a1a2e"/>
                <w:sz w:val="17"/>
                <w:szCs w:val="17"/>
                <w:highlight w:val="yellow"/>
                <w:rtl w:val="0"/>
              </w:rPr>
              <w:t xml:space="preserve">[CFO]</w:t>
            </w:r>
            <w:r w:rsidDel="00000000" w:rsidR="00000000" w:rsidRPr="00000000">
              <w:rPr>
                <w:rtl w:val="0"/>
              </w:rPr>
            </w:r>
          </w:p>
        </w:tc>
        <w:tc>
          <w:tcPr>
            <w:tcBorders>
              <w:top w:color="bdc3c7" w:space="0" w:sz="4" w:val="single"/>
              <w:left w:color="bdc3c7" w:space="0" w:sz="4" w:val="single"/>
              <w:bottom w:color="bdc3c7" w:space="0" w:sz="4" w:val="single"/>
              <w:right w:color="bdc3c7" w:space="0" w:sz="4" w:val="single"/>
            </w:tcBorders>
            <w:shd w:fill="ffffff" w:val="clear"/>
            <w:tcMar>
              <w:top w:w="60.0" w:type="dxa"/>
              <w:left w:w="100.0" w:type="dxa"/>
              <w:bottom w:w="60.0" w:type="dxa"/>
              <w:right w:w="100.0" w:type="dxa"/>
            </w:tcMar>
          </w:tcPr>
          <w:p w:rsidR="00000000" w:rsidDel="00000000" w:rsidP="00000000" w:rsidRDefault="00000000" w:rsidRPr="00000000" w14:paraId="00000066">
            <w:pPr>
              <w:rPr/>
            </w:pPr>
            <w:r w:rsidDel="00000000" w:rsidR="00000000" w:rsidRPr="00000000">
              <w:rPr>
                <w:rFonts w:ascii="Arial" w:cs="Arial" w:eastAsia="Arial" w:hAnsi="Arial"/>
                <w:color w:val="1a1a2e"/>
                <w:sz w:val="17"/>
                <w:szCs w:val="17"/>
                <w:rtl w:val="0"/>
              </w:rPr>
              <w:t xml:space="preserve">Full hedging authority within policy</w:t>
            </w:r>
            <w:r w:rsidDel="00000000" w:rsidR="00000000" w:rsidRPr="00000000">
              <w:rPr>
                <w:rtl w:val="0"/>
              </w:rPr>
            </w:r>
          </w:p>
        </w:tc>
        <w:tc>
          <w:tcPr>
            <w:tcBorders>
              <w:top w:color="bdc3c7" w:space="0" w:sz="4" w:val="single"/>
              <w:left w:color="bdc3c7" w:space="0" w:sz="4" w:val="single"/>
              <w:bottom w:color="bdc3c7" w:space="0" w:sz="4" w:val="single"/>
              <w:right w:color="bdc3c7" w:space="0" w:sz="4" w:val="single"/>
            </w:tcBorders>
            <w:shd w:fill="ffffff" w:val="clear"/>
            <w:tcMar>
              <w:top w:w="60.0" w:type="dxa"/>
              <w:left w:w="100.0" w:type="dxa"/>
              <w:bottom w:w="60.0" w:type="dxa"/>
              <w:right w:w="100.0" w:type="dxa"/>
            </w:tcMar>
          </w:tcPr>
          <w:p w:rsidR="00000000" w:rsidDel="00000000" w:rsidP="00000000" w:rsidRDefault="00000000" w:rsidRPr="00000000" w14:paraId="00000067">
            <w:pPr>
              <w:rPr>
                <w:highlight w:val="yellow"/>
              </w:rPr>
            </w:pPr>
            <w:r w:rsidDel="00000000" w:rsidR="00000000" w:rsidRPr="00000000">
              <w:rPr>
                <w:rFonts w:ascii="Arial" w:cs="Arial" w:eastAsia="Arial" w:hAnsi="Arial"/>
                <w:color w:val="1a1a2e"/>
                <w:sz w:val="17"/>
                <w:szCs w:val="17"/>
                <w:rtl w:val="0"/>
              </w:rPr>
              <w:t xml:space="preserve">Up to</w:t>
            </w:r>
            <w:r w:rsidDel="00000000" w:rsidR="00000000" w:rsidRPr="00000000">
              <w:rPr>
                <w:rFonts w:ascii="Arial" w:cs="Arial" w:eastAsia="Arial" w:hAnsi="Arial"/>
                <w:color w:val="1a1a2e"/>
                <w:sz w:val="17"/>
                <w:szCs w:val="17"/>
                <w:highlight w:val="yellow"/>
                <w:rtl w:val="0"/>
              </w:rPr>
              <w:t xml:space="preserve"> [currency] [amount]</w:t>
            </w:r>
            <w:r w:rsidDel="00000000" w:rsidR="00000000" w:rsidRPr="00000000">
              <w:rPr>
                <w:rtl w:val="0"/>
              </w:rPr>
            </w:r>
          </w:p>
        </w:tc>
      </w:tr>
      <w:tr>
        <w:trPr>
          <w:cantSplit w:val="0"/>
          <w:tblHeader w:val="0"/>
        </w:trPr>
        <w:tc>
          <w:tcPr>
            <w:tcBorders>
              <w:top w:color="bdc3c7" w:space="0" w:sz="4" w:val="single"/>
              <w:left w:color="bdc3c7" w:space="0" w:sz="4" w:val="single"/>
              <w:bottom w:color="bdc3c7" w:space="0" w:sz="4" w:val="single"/>
              <w:right w:color="bdc3c7" w:space="0" w:sz="4" w:val="single"/>
            </w:tcBorders>
            <w:shd w:fill="f2f3f4" w:val="clear"/>
            <w:tcMar>
              <w:top w:w="60.0" w:type="dxa"/>
              <w:left w:w="100.0" w:type="dxa"/>
              <w:bottom w:w="60.0" w:type="dxa"/>
              <w:right w:w="100.0" w:type="dxa"/>
            </w:tcMar>
          </w:tcPr>
          <w:p w:rsidR="00000000" w:rsidDel="00000000" w:rsidP="00000000" w:rsidRDefault="00000000" w:rsidRPr="00000000" w14:paraId="00000068">
            <w:pPr>
              <w:rPr>
                <w:highlight w:val="yellow"/>
              </w:rPr>
            </w:pPr>
            <w:r w:rsidDel="00000000" w:rsidR="00000000" w:rsidRPr="00000000">
              <w:rPr>
                <w:rFonts w:ascii="Arial" w:cs="Arial" w:eastAsia="Arial" w:hAnsi="Arial"/>
                <w:color w:val="1a1a2e"/>
                <w:sz w:val="17"/>
                <w:szCs w:val="17"/>
                <w:highlight w:val="yellow"/>
                <w:rtl w:val="0"/>
              </w:rPr>
              <w:t xml:space="preserve">[Financial Controller / Treasurer]</w:t>
            </w:r>
            <w:r w:rsidDel="00000000" w:rsidR="00000000" w:rsidRPr="00000000">
              <w:rPr>
                <w:rtl w:val="0"/>
              </w:rPr>
            </w:r>
          </w:p>
        </w:tc>
        <w:tc>
          <w:tcPr>
            <w:tcBorders>
              <w:top w:color="bdc3c7" w:space="0" w:sz="4" w:val="single"/>
              <w:left w:color="bdc3c7" w:space="0" w:sz="4" w:val="single"/>
              <w:bottom w:color="bdc3c7" w:space="0" w:sz="4" w:val="single"/>
              <w:right w:color="bdc3c7" w:space="0" w:sz="4" w:val="single"/>
            </w:tcBorders>
            <w:shd w:fill="f2f3f4" w:val="clear"/>
            <w:tcMar>
              <w:top w:w="60.0" w:type="dxa"/>
              <w:left w:w="100.0" w:type="dxa"/>
              <w:bottom w:w="60.0" w:type="dxa"/>
              <w:right w:w="100.0" w:type="dxa"/>
            </w:tcMar>
          </w:tcPr>
          <w:p w:rsidR="00000000" w:rsidDel="00000000" w:rsidP="00000000" w:rsidRDefault="00000000" w:rsidRPr="00000000" w14:paraId="00000069">
            <w:pPr>
              <w:rPr/>
            </w:pPr>
            <w:r w:rsidDel="00000000" w:rsidR="00000000" w:rsidRPr="00000000">
              <w:rPr>
                <w:rFonts w:ascii="Arial" w:cs="Arial" w:eastAsia="Arial" w:hAnsi="Arial"/>
                <w:color w:val="1a1a2e"/>
                <w:sz w:val="17"/>
                <w:szCs w:val="17"/>
                <w:rtl w:val="0"/>
              </w:rPr>
              <w:t xml:space="preserve">Execute approved hedges</w:t>
            </w:r>
            <w:r w:rsidDel="00000000" w:rsidR="00000000" w:rsidRPr="00000000">
              <w:rPr>
                <w:rtl w:val="0"/>
              </w:rPr>
            </w:r>
          </w:p>
        </w:tc>
        <w:tc>
          <w:tcPr>
            <w:tcBorders>
              <w:top w:color="bdc3c7" w:space="0" w:sz="4" w:val="single"/>
              <w:left w:color="bdc3c7" w:space="0" w:sz="4" w:val="single"/>
              <w:bottom w:color="bdc3c7" w:space="0" w:sz="4" w:val="single"/>
              <w:right w:color="bdc3c7" w:space="0" w:sz="4" w:val="single"/>
            </w:tcBorders>
            <w:shd w:fill="f2f3f4" w:val="clear"/>
            <w:tcMar>
              <w:top w:w="60.0" w:type="dxa"/>
              <w:left w:w="100.0" w:type="dxa"/>
              <w:bottom w:w="60.0" w:type="dxa"/>
              <w:right w:w="100.0" w:type="dxa"/>
            </w:tcMar>
          </w:tcPr>
          <w:p w:rsidR="00000000" w:rsidDel="00000000" w:rsidP="00000000" w:rsidRDefault="00000000" w:rsidRPr="00000000" w14:paraId="0000006A">
            <w:pPr>
              <w:rPr>
                <w:highlight w:val="yellow"/>
              </w:rPr>
            </w:pPr>
            <w:r w:rsidDel="00000000" w:rsidR="00000000" w:rsidRPr="00000000">
              <w:rPr>
                <w:rFonts w:ascii="Arial" w:cs="Arial" w:eastAsia="Arial" w:hAnsi="Arial"/>
                <w:color w:val="1a1a2e"/>
                <w:sz w:val="17"/>
                <w:szCs w:val="17"/>
                <w:rtl w:val="0"/>
              </w:rPr>
              <w:t xml:space="preserve">Up to </w:t>
            </w:r>
            <w:r w:rsidDel="00000000" w:rsidR="00000000" w:rsidRPr="00000000">
              <w:rPr>
                <w:rFonts w:ascii="Arial" w:cs="Arial" w:eastAsia="Arial" w:hAnsi="Arial"/>
                <w:color w:val="1a1a2e"/>
                <w:sz w:val="17"/>
                <w:szCs w:val="17"/>
                <w:highlight w:val="yellow"/>
                <w:rtl w:val="0"/>
              </w:rPr>
              <w:t xml:space="preserve">[currency] [amount]</w:t>
            </w:r>
            <w:r w:rsidDel="00000000" w:rsidR="00000000" w:rsidRPr="00000000">
              <w:rPr>
                <w:rtl w:val="0"/>
              </w:rPr>
            </w:r>
          </w:p>
        </w:tc>
      </w:tr>
      <w:tr>
        <w:trPr>
          <w:cantSplit w:val="0"/>
          <w:tblHeader w:val="0"/>
        </w:trPr>
        <w:tc>
          <w:tcPr>
            <w:tcBorders>
              <w:top w:color="bdc3c7" w:space="0" w:sz="4" w:val="single"/>
              <w:left w:color="bdc3c7" w:space="0" w:sz="4" w:val="single"/>
              <w:bottom w:color="bdc3c7" w:space="0" w:sz="4" w:val="single"/>
              <w:right w:color="bdc3c7" w:space="0" w:sz="4" w:val="single"/>
            </w:tcBorders>
            <w:shd w:fill="ffffff" w:val="clear"/>
            <w:tcMar>
              <w:top w:w="60.0" w:type="dxa"/>
              <w:left w:w="100.0" w:type="dxa"/>
              <w:bottom w:w="60.0" w:type="dxa"/>
              <w:right w:w="100.0" w:type="dxa"/>
            </w:tcMar>
          </w:tcPr>
          <w:p w:rsidR="00000000" w:rsidDel="00000000" w:rsidP="00000000" w:rsidRDefault="00000000" w:rsidRPr="00000000" w14:paraId="0000006B">
            <w:pPr>
              <w:rPr>
                <w:highlight w:val="yellow"/>
              </w:rPr>
            </w:pPr>
            <w:r w:rsidDel="00000000" w:rsidR="00000000" w:rsidRPr="00000000">
              <w:rPr>
                <w:rFonts w:ascii="Arial" w:cs="Arial" w:eastAsia="Arial" w:hAnsi="Arial"/>
                <w:color w:val="1a1a2e"/>
                <w:sz w:val="17"/>
                <w:szCs w:val="17"/>
                <w:highlight w:val="yellow"/>
                <w:rtl w:val="0"/>
              </w:rPr>
              <w:t xml:space="preserve">[CEO / Board]</w:t>
            </w:r>
            <w:r w:rsidDel="00000000" w:rsidR="00000000" w:rsidRPr="00000000">
              <w:rPr>
                <w:rtl w:val="0"/>
              </w:rPr>
            </w:r>
          </w:p>
        </w:tc>
        <w:tc>
          <w:tcPr>
            <w:tcBorders>
              <w:top w:color="bdc3c7" w:space="0" w:sz="4" w:val="single"/>
              <w:left w:color="bdc3c7" w:space="0" w:sz="4" w:val="single"/>
              <w:bottom w:color="bdc3c7" w:space="0" w:sz="4" w:val="single"/>
              <w:right w:color="bdc3c7" w:space="0" w:sz="4" w:val="single"/>
            </w:tcBorders>
            <w:shd w:fill="ffffff" w:val="clear"/>
            <w:tcMar>
              <w:top w:w="60.0" w:type="dxa"/>
              <w:left w:w="100.0" w:type="dxa"/>
              <w:bottom w:w="60.0" w:type="dxa"/>
              <w:right w:w="100.0" w:type="dxa"/>
            </w:tcMar>
          </w:tcPr>
          <w:p w:rsidR="00000000" w:rsidDel="00000000" w:rsidP="00000000" w:rsidRDefault="00000000" w:rsidRPr="00000000" w14:paraId="0000006C">
            <w:pPr>
              <w:rPr/>
            </w:pPr>
            <w:r w:rsidDel="00000000" w:rsidR="00000000" w:rsidRPr="00000000">
              <w:rPr>
                <w:rFonts w:ascii="Arial" w:cs="Arial" w:eastAsia="Arial" w:hAnsi="Arial"/>
                <w:color w:val="1a1a2e"/>
                <w:sz w:val="17"/>
                <w:szCs w:val="17"/>
                <w:rtl w:val="0"/>
              </w:rPr>
              <w:t xml:space="preserve">Approve hedges exceeding CFO limit; approve new instruments or counterparties</w:t>
            </w:r>
            <w:r w:rsidDel="00000000" w:rsidR="00000000" w:rsidRPr="00000000">
              <w:rPr>
                <w:rtl w:val="0"/>
              </w:rPr>
            </w:r>
          </w:p>
        </w:tc>
        <w:tc>
          <w:tcPr>
            <w:tcBorders>
              <w:top w:color="bdc3c7" w:space="0" w:sz="4" w:val="single"/>
              <w:left w:color="bdc3c7" w:space="0" w:sz="4" w:val="single"/>
              <w:bottom w:color="bdc3c7" w:space="0" w:sz="4" w:val="single"/>
              <w:right w:color="bdc3c7" w:space="0" w:sz="4" w:val="single"/>
            </w:tcBorders>
            <w:shd w:fill="ffffff" w:val="clear"/>
            <w:tcMar>
              <w:top w:w="60.0" w:type="dxa"/>
              <w:left w:w="100.0" w:type="dxa"/>
              <w:bottom w:w="60.0" w:type="dxa"/>
              <w:right w:w="100.0" w:type="dxa"/>
            </w:tcMar>
          </w:tcPr>
          <w:p w:rsidR="00000000" w:rsidDel="00000000" w:rsidP="00000000" w:rsidRDefault="00000000" w:rsidRPr="00000000" w14:paraId="0000006D">
            <w:pPr>
              <w:rPr/>
            </w:pPr>
            <w:r w:rsidDel="00000000" w:rsidR="00000000" w:rsidRPr="00000000">
              <w:rPr>
                <w:rFonts w:ascii="Arial" w:cs="Arial" w:eastAsia="Arial" w:hAnsi="Arial"/>
                <w:color w:val="1a1a2e"/>
                <w:sz w:val="17"/>
                <w:szCs w:val="17"/>
                <w:rtl w:val="0"/>
              </w:rPr>
              <w:t xml:space="preserve">Unlimited</w:t>
            </w:r>
            <w:r w:rsidDel="00000000" w:rsidR="00000000" w:rsidRPr="00000000">
              <w:rPr>
                <w:rtl w:val="0"/>
              </w:rPr>
            </w:r>
          </w:p>
        </w:tc>
      </w:tr>
    </w:tbl>
    <w:p w:rsidR="00000000" w:rsidDel="00000000" w:rsidP="00000000" w:rsidRDefault="00000000" w:rsidRPr="00000000" w14:paraId="0000006E">
      <w:pPr>
        <w:spacing w:after="30" w:lineRule="auto"/>
        <w:rPr/>
      </w:pPr>
      <w:r w:rsidDel="00000000" w:rsidR="00000000" w:rsidRPr="00000000">
        <w:rPr>
          <w:rtl w:val="0"/>
        </w:rPr>
      </w:r>
    </w:p>
    <w:p w:rsidR="00000000" w:rsidDel="00000000" w:rsidP="00000000" w:rsidRDefault="00000000" w:rsidRPr="00000000" w14:paraId="0000006F">
      <w:pPr>
        <w:spacing w:after="70" w:line="260" w:lineRule="auto"/>
        <w:rPr/>
      </w:pPr>
      <w:r w:rsidDel="00000000" w:rsidR="00000000" w:rsidRPr="00000000">
        <w:rPr>
          <w:rFonts w:ascii="Arial" w:cs="Arial" w:eastAsia="Arial" w:hAnsi="Arial"/>
          <w:color w:val="1a1a2e"/>
          <w:sz w:val="19"/>
          <w:szCs w:val="19"/>
          <w:rtl w:val="0"/>
        </w:rPr>
        <w:t xml:space="preserve">A dealing mandate (board resolution or letter of authority) must be maintained listing all individuals authorised to enter into FX contracts. The company shall notify its hedging counterparties immediately, in writing, of any change in the status of an authorised individual.</w:t>
      </w:r>
      <w:r w:rsidDel="00000000" w:rsidR="00000000" w:rsidRPr="00000000">
        <w:rPr>
          <w:rtl w:val="0"/>
        </w:rPr>
      </w:r>
    </w:p>
    <w:p w:rsidR="00000000" w:rsidDel="00000000" w:rsidP="00000000" w:rsidRDefault="00000000" w:rsidRPr="00000000" w14:paraId="00000070">
      <w:pPr>
        <w:pStyle w:val="Heading2"/>
        <w:spacing w:after="60" w:before="160" w:lineRule="auto"/>
        <w:rPr/>
      </w:pPr>
      <w:r w:rsidDel="00000000" w:rsidR="00000000" w:rsidRPr="00000000">
        <w:rPr>
          <w:rFonts w:ascii="Arial" w:cs="Arial" w:eastAsia="Arial" w:hAnsi="Arial"/>
          <w:b w:val="1"/>
          <w:bCs w:val="1"/>
          <w:color w:val="009463"/>
          <w:sz w:val="21"/>
          <w:szCs w:val="21"/>
          <w:rtl w:val="0"/>
        </w:rPr>
        <w:t xml:space="preserve">5.2 Segregation of Duties</w:t>
      </w:r>
      <w:r w:rsidDel="00000000" w:rsidR="00000000" w:rsidRPr="00000000">
        <w:rPr>
          <w:rtl w:val="0"/>
        </w:rPr>
      </w:r>
    </w:p>
    <w:p w:rsidR="00000000" w:rsidDel="00000000" w:rsidP="00000000" w:rsidRDefault="00000000" w:rsidRPr="00000000" w14:paraId="00000071">
      <w:pPr>
        <w:spacing w:after="70" w:line="260" w:lineRule="auto"/>
        <w:rPr/>
      </w:pPr>
      <w:r w:rsidDel="00000000" w:rsidR="00000000" w:rsidRPr="00000000">
        <w:rPr>
          <w:rFonts w:ascii="Arial" w:cs="Arial" w:eastAsia="Arial" w:hAnsi="Arial"/>
          <w:color w:val="1a1a2e"/>
          <w:sz w:val="19"/>
          <w:szCs w:val="19"/>
          <w:rtl w:val="0"/>
        </w:rPr>
        <w:t xml:space="preserve">Where the size and structure of the finance team permits, the following functions should be separated: trade execution (entering into hedges), trade confirmation (verifying terms with counterparty), and settlement/accounting (processing payments and recording hedges). At minimum, no single individual should both execute and confirm a trade.</w:t>
      </w:r>
      <w:r w:rsidDel="00000000" w:rsidR="00000000" w:rsidRPr="00000000">
        <w:rPr>
          <w:rtl w:val="0"/>
        </w:rPr>
      </w:r>
    </w:p>
    <w:p w:rsidR="00000000" w:rsidDel="00000000" w:rsidP="00000000" w:rsidRDefault="00000000" w:rsidRPr="00000000" w14:paraId="00000072">
      <w:pPr>
        <w:pStyle w:val="Heading2"/>
        <w:spacing w:after="60" w:before="160" w:lineRule="auto"/>
        <w:rPr/>
      </w:pPr>
      <w:r w:rsidDel="00000000" w:rsidR="00000000" w:rsidRPr="00000000">
        <w:rPr>
          <w:rFonts w:ascii="Arial" w:cs="Arial" w:eastAsia="Arial" w:hAnsi="Arial"/>
          <w:b w:val="1"/>
          <w:bCs w:val="1"/>
          <w:color w:val="009463"/>
          <w:sz w:val="21"/>
          <w:szCs w:val="21"/>
          <w:rtl w:val="0"/>
        </w:rPr>
        <w:t xml:space="preserve">5.3 Counterparty Requirements</w:t>
      </w: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40" w:before="0" w:line="260" w:lineRule="auto"/>
        <w:ind w:left="500" w:right="0" w:hanging="250"/>
        <w:jc w:val="left"/>
        <w:rPr/>
      </w:pPr>
      <w:r w:rsidDel="00000000" w:rsidR="00000000" w:rsidRPr="00000000">
        <w:rPr>
          <w:rFonts w:ascii="Arial" w:cs="Arial" w:eastAsia="Arial" w:hAnsi="Arial"/>
          <w:b w:val="0"/>
          <w:bCs w:val="0"/>
          <w:i w:val="0"/>
          <w:iCs w:val="0"/>
          <w:smallCaps w:val="0"/>
          <w:strike w:val="0"/>
          <w:color w:val="1a1a2e"/>
          <w:sz w:val="19"/>
          <w:szCs w:val="19"/>
          <w:u w:val="none"/>
          <w:shd w:fill="auto" w:val="clear"/>
          <w:vertAlign w:val="baseline"/>
          <w:rtl w:val="0"/>
        </w:rPr>
        <w:t xml:space="preserve">All FX hedging transactions must be executed with institutions authorised and regulated by the Financial Conduct Authority (or equivalent home-country regulator).</w:t>
      </w: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40" w:before="0" w:line="260" w:lineRule="auto"/>
        <w:ind w:left="500" w:right="0" w:hanging="250"/>
        <w:jc w:val="left"/>
        <w:rPr>
          <w:highlight w:val="yellow"/>
        </w:rPr>
      </w:pPr>
      <w:r w:rsidDel="00000000" w:rsidR="00000000" w:rsidRPr="00000000">
        <w:rPr>
          <w:color w:val="1a1a2e"/>
          <w:highlight w:val="yellow"/>
          <w:rtl w:val="0"/>
        </w:rPr>
        <w:t xml:space="preserve">[</w:t>
      </w:r>
      <w:r w:rsidDel="00000000" w:rsidR="00000000" w:rsidRPr="00000000">
        <w:rPr>
          <w:rFonts w:ascii="Arial" w:cs="Arial" w:eastAsia="Arial" w:hAnsi="Arial"/>
          <w:b w:val="0"/>
          <w:bCs w:val="0"/>
          <w:i w:val="0"/>
          <w:iCs w:val="0"/>
          <w:smallCaps w:val="0"/>
          <w:strike w:val="0"/>
          <w:color w:val="1a1a2e"/>
          <w:sz w:val="19"/>
          <w:szCs w:val="19"/>
          <w:highlight w:val="yellow"/>
          <w:u w:val="none"/>
          <w:vertAlign w:val="baseline"/>
          <w:rtl w:val="0"/>
        </w:rPr>
        <w:t xml:space="preserve">Hedging counterparties shall have a minimum long-term credit rating of [A-/A3] from at least one of S&amp;P, Moody’s, or Fitch.]</w:t>
      </w: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40" w:before="0" w:line="260" w:lineRule="auto"/>
        <w:ind w:left="500" w:right="0" w:hanging="250"/>
        <w:jc w:val="left"/>
        <w:rPr/>
      </w:pPr>
      <w:r w:rsidDel="00000000" w:rsidR="00000000" w:rsidRPr="00000000">
        <w:rPr>
          <w:rFonts w:ascii="Arial" w:cs="Arial" w:eastAsia="Arial" w:hAnsi="Arial"/>
          <w:b w:val="0"/>
          <w:bCs w:val="0"/>
          <w:i w:val="0"/>
          <w:iCs w:val="0"/>
          <w:smallCaps w:val="0"/>
          <w:strike w:val="0"/>
          <w:color w:val="1a1a2e"/>
          <w:sz w:val="19"/>
          <w:szCs w:val="19"/>
          <w:u w:val="none"/>
          <w:shd w:fill="auto" w:val="clear"/>
          <w:vertAlign w:val="baseline"/>
          <w:rtl w:val="0"/>
        </w:rPr>
        <w:t xml:space="preserve">The company should maintain relationships with at least two hedging counterparties to ensure competitive pricing and operational resilience.</w:t>
      </w: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40" w:before="0" w:line="260" w:lineRule="auto"/>
        <w:ind w:left="500" w:right="0" w:hanging="250"/>
        <w:jc w:val="left"/>
        <w:rPr/>
      </w:pPr>
      <w:r w:rsidDel="00000000" w:rsidR="00000000" w:rsidRPr="00000000">
        <w:rPr>
          <w:rFonts w:ascii="Arial" w:cs="Arial" w:eastAsia="Arial" w:hAnsi="Arial"/>
          <w:b w:val="0"/>
          <w:bCs w:val="0"/>
          <w:i w:val="0"/>
          <w:iCs w:val="0"/>
          <w:smallCaps w:val="0"/>
          <w:strike w:val="0"/>
          <w:color w:val="1a1a2e"/>
          <w:sz w:val="19"/>
          <w:szCs w:val="19"/>
          <w:u w:val="none"/>
          <w:shd w:fill="auto" w:val="clear"/>
          <w:vertAlign w:val="baseline"/>
          <w:rtl w:val="0"/>
        </w:rPr>
        <w:t xml:space="preserve">Hedging counterparty credit exposure shall be monitored alongside banking counterparty limits in the Cash Management Policy.</w:t>
      </w:r>
      <w:r w:rsidDel="00000000" w:rsidR="00000000" w:rsidRPr="00000000">
        <w:rPr>
          <w:rtl w:val="0"/>
        </w:rPr>
      </w:r>
    </w:p>
    <w:p w:rsidR="00000000" w:rsidDel="00000000" w:rsidP="00000000" w:rsidRDefault="00000000" w:rsidRPr="00000000" w14:paraId="00000077">
      <w:pPr>
        <w:spacing w:after="10" w:lineRule="auto"/>
        <w:rPr/>
      </w:pPr>
      <w:r w:rsidDel="00000000" w:rsidR="00000000" w:rsidRPr="00000000">
        <w:rPr>
          <w:rtl w:val="0"/>
        </w:rPr>
      </w:r>
    </w:p>
    <w:p w:rsidR="00000000" w:rsidDel="00000000" w:rsidP="00000000" w:rsidRDefault="00000000" w:rsidRPr="00000000" w14:paraId="00000078">
      <w:pPr>
        <w:spacing w:after="70" w:line="260" w:lineRule="auto"/>
        <w:rPr/>
      </w:pPr>
      <w:r w:rsidDel="00000000" w:rsidR="00000000" w:rsidRPr="00000000">
        <w:rPr>
          <w:rFonts w:ascii="Arial" w:cs="Arial" w:eastAsia="Arial" w:hAnsi="Arial"/>
          <w:i w:val="1"/>
          <w:iCs w:val="1"/>
          <w:color w:val="5d6d7e"/>
          <w:sz w:val="17"/>
          <w:szCs w:val="17"/>
          <w:rtl w:val="0"/>
        </w:rPr>
        <w:t xml:space="preserve">[Guidance: For large</w:t>
      </w:r>
      <w:r w:rsidDel="00000000" w:rsidR="00000000" w:rsidRPr="00000000">
        <w:rPr>
          <w:i w:val="1"/>
          <w:iCs w:val="1"/>
          <w:color w:val="5d6d7e"/>
          <w:sz w:val="17"/>
          <w:szCs w:val="17"/>
          <w:rtl w:val="0"/>
        </w:rPr>
        <w:t xml:space="preserve">r </w:t>
      </w:r>
      <w:r w:rsidDel="00000000" w:rsidR="00000000" w:rsidRPr="00000000">
        <w:rPr>
          <w:rFonts w:ascii="Arial" w:cs="Arial" w:eastAsia="Arial" w:hAnsi="Arial"/>
          <w:i w:val="1"/>
          <w:iCs w:val="1"/>
          <w:color w:val="5d6d7e"/>
          <w:sz w:val="17"/>
          <w:szCs w:val="17"/>
          <w:rtl w:val="0"/>
        </w:rPr>
        <w:t xml:space="preserve">businesses, hedging counterparties will often be the company’s main banking providers. </w:t>
      </w:r>
      <w:r w:rsidDel="00000000" w:rsidR="00000000" w:rsidRPr="00000000">
        <w:rPr>
          <w:i w:val="1"/>
          <w:iCs w:val="1"/>
          <w:color w:val="5d6d7e"/>
          <w:sz w:val="17"/>
          <w:szCs w:val="17"/>
          <w:rtl w:val="0"/>
        </w:rPr>
        <w:t xml:space="preserve">For Scaleups and smaller businesses hedging via banks may be unavailable and they may require</w:t>
      </w:r>
      <w:r w:rsidDel="00000000" w:rsidR="00000000" w:rsidRPr="00000000">
        <w:rPr>
          <w:rFonts w:ascii="Arial" w:cs="Arial" w:eastAsia="Arial" w:hAnsi="Arial"/>
          <w:i w:val="1"/>
          <w:iCs w:val="1"/>
          <w:color w:val="5d6d7e"/>
          <w:sz w:val="17"/>
          <w:szCs w:val="17"/>
          <w:rtl w:val="0"/>
        </w:rPr>
        <w:t xml:space="preserve"> specialist FX brokers/fintechs. Ensure any broker is FCA-authorised and that client funds are held in segregated accounts and monitor </w:t>
      </w:r>
      <w:r w:rsidDel="00000000" w:rsidR="00000000" w:rsidRPr="00000000">
        <w:rPr>
          <w:i w:val="1"/>
          <w:iCs w:val="1"/>
          <w:color w:val="5d6d7e"/>
          <w:sz w:val="17"/>
          <w:szCs w:val="17"/>
          <w:rtl w:val="0"/>
        </w:rPr>
        <w:t xml:space="preserve">your counterparty credit exposure to your provider</w:t>
      </w:r>
      <w:r w:rsidDel="00000000" w:rsidR="00000000" w:rsidRPr="00000000">
        <w:rPr>
          <w:rFonts w:ascii="Arial" w:cs="Arial" w:eastAsia="Arial" w:hAnsi="Arial"/>
          <w:i w:val="1"/>
          <w:iCs w:val="1"/>
          <w:color w:val="5d6d7e"/>
          <w:sz w:val="17"/>
          <w:szCs w:val="17"/>
          <w:rtl w:val="0"/>
        </w:rPr>
        <w:t xml:space="preserve">.]</w:t>
      </w:r>
      <w:r w:rsidDel="00000000" w:rsidR="00000000" w:rsidRPr="00000000">
        <w:rPr>
          <w:rtl w:val="0"/>
        </w:rPr>
      </w:r>
    </w:p>
    <w:p w:rsidR="00000000" w:rsidDel="00000000" w:rsidP="00000000" w:rsidRDefault="00000000" w:rsidRPr="00000000" w14:paraId="00000079">
      <w:pPr>
        <w:pStyle w:val="Heading1"/>
        <w:spacing w:after="80" w:before="240" w:lineRule="auto"/>
        <w:rPr/>
      </w:pPr>
      <w:r w:rsidDel="00000000" w:rsidR="00000000" w:rsidRPr="00000000">
        <w:rPr>
          <w:rFonts w:ascii="Arial" w:cs="Arial" w:eastAsia="Arial" w:hAnsi="Arial"/>
          <w:b w:val="1"/>
          <w:bCs w:val="1"/>
          <w:color w:val="009463"/>
          <w:sz w:val="25"/>
          <w:szCs w:val="25"/>
          <w:rtl w:val="0"/>
        </w:rPr>
        <w:t xml:space="preserve">6. Monitoring, Reporting and Review</w:t>
      </w:r>
      <w:r w:rsidDel="00000000" w:rsidR="00000000" w:rsidRPr="00000000">
        <w:rPr>
          <w:rtl w:val="0"/>
        </w:rPr>
      </w:r>
    </w:p>
    <w:p w:rsidR="00000000" w:rsidDel="00000000" w:rsidP="00000000" w:rsidRDefault="00000000" w:rsidRPr="00000000" w14:paraId="0000007A">
      <w:pPr>
        <w:pStyle w:val="Heading2"/>
        <w:spacing w:after="60" w:before="160" w:lineRule="auto"/>
        <w:rPr/>
      </w:pPr>
      <w:r w:rsidDel="00000000" w:rsidR="00000000" w:rsidRPr="00000000">
        <w:rPr>
          <w:rFonts w:ascii="Arial" w:cs="Arial" w:eastAsia="Arial" w:hAnsi="Arial"/>
          <w:b w:val="1"/>
          <w:bCs w:val="1"/>
          <w:color w:val="009463"/>
          <w:sz w:val="21"/>
          <w:szCs w:val="21"/>
          <w:rtl w:val="0"/>
        </w:rPr>
        <w:t xml:space="preserve">6.1 Ongoing Monitoring</w:t>
      </w:r>
      <w:r w:rsidDel="00000000" w:rsidR="00000000" w:rsidRPr="00000000">
        <w:rPr>
          <w:rtl w:val="0"/>
        </w:rPr>
      </w:r>
    </w:p>
    <w:p w:rsidR="00000000" w:rsidDel="00000000" w:rsidP="00000000" w:rsidRDefault="00000000" w:rsidRPr="00000000" w14:paraId="0000007B">
      <w:pPr>
        <w:spacing w:after="70" w:line="260" w:lineRule="auto"/>
        <w:rPr/>
      </w:pPr>
      <w:r w:rsidDel="00000000" w:rsidR="00000000" w:rsidRPr="00000000">
        <w:rPr>
          <w:rFonts w:ascii="Arial" w:cs="Arial" w:eastAsia="Arial" w:hAnsi="Arial"/>
          <w:color w:val="1a1a2e"/>
          <w:sz w:val="19"/>
          <w:szCs w:val="19"/>
          <w:rtl w:val="0"/>
        </w:rPr>
        <w:t xml:space="preserve">The CFO (or delegated team member) shall monitor the following on at least a monthly basis: FX exposures in the treasury risk management system vs current hedge positions, mark-to-market valuations of outstanding hedges, hedge maturity profile and upcoming settlements, and any breaches of policy limits. Where the company uses hedge accounting (IFRS 9 or FRS 102), effectiveness testing shall be performed in accordance with the applicable standard.</w:t>
      </w:r>
      <w:r w:rsidDel="00000000" w:rsidR="00000000" w:rsidRPr="00000000">
        <w:rPr>
          <w:rtl w:val="0"/>
        </w:rPr>
      </w:r>
    </w:p>
    <w:p w:rsidR="00000000" w:rsidDel="00000000" w:rsidP="00000000" w:rsidRDefault="00000000" w:rsidRPr="00000000" w14:paraId="0000007C">
      <w:pPr>
        <w:pStyle w:val="Heading2"/>
        <w:spacing w:after="60" w:before="160" w:lineRule="auto"/>
        <w:rPr/>
      </w:pPr>
      <w:r w:rsidDel="00000000" w:rsidR="00000000" w:rsidRPr="00000000">
        <w:rPr>
          <w:rFonts w:ascii="Arial" w:cs="Arial" w:eastAsia="Arial" w:hAnsi="Arial"/>
          <w:b w:val="1"/>
          <w:bCs w:val="1"/>
          <w:color w:val="009463"/>
          <w:sz w:val="21"/>
          <w:szCs w:val="21"/>
          <w:rtl w:val="0"/>
        </w:rPr>
        <w:t xml:space="preserve">6.2 Board Reporting</w:t>
      </w:r>
      <w:r w:rsidDel="00000000" w:rsidR="00000000" w:rsidRPr="00000000">
        <w:rPr>
          <w:rtl w:val="0"/>
        </w:rPr>
      </w:r>
    </w:p>
    <w:p w:rsidR="00000000" w:rsidDel="00000000" w:rsidP="00000000" w:rsidRDefault="00000000" w:rsidRPr="00000000" w14:paraId="0000007D">
      <w:pPr>
        <w:spacing w:after="70" w:line="260" w:lineRule="auto"/>
        <w:rPr/>
      </w:pPr>
      <w:r w:rsidDel="00000000" w:rsidR="00000000" w:rsidRPr="00000000">
        <w:rPr>
          <w:rFonts w:ascii="Arial" w:cs="Arial" w:eastAsia="Arial" w:hAnsi="Arial"/>
          <w:color w:val="1a1a2e"/>
          <w:sz w:val="19"/>
          <w:szCs w:val="19"/>
          <w:rtl w:val="0"/>
        </w:rPr>
        <w:t xml:space="preserve">The CFO shall report to the board </w:t>
      </w:r>
      <w:r w:rsidDel="00000000" w:rsidR="00000000" w:rsidRPr="00000000">
        <w:rPr>
          <w:rFonts w:ascii="Arial" w:cs="Arial" w:eastAsia="Arial" w:hAnsi="Arial"/>
          <w:color w:val="1a1a2e"/>
          <w:sz w:val="19"/>
          <w:szCs w:val="19"/>
          <w:highlight w:val="yellow"/>
          <w:rtl w:val="0"/>
        </w:rPr>
        <w:t xml:space="preserve">[monthly/quarterly]</w:t>
      </w:r>
      <w:r w:rsidDel="00000000" w:rsidR="00000000" w:rsidRPr="00000000">
        <w:rPr>
          <w:rFonts w:ascii="Arial" w:cs="Arial" w:eastAsia="Arial" w:hAnsi="Arial"/>
          <w:color w:val="1a1a2e"/>
          <w:sz w:val="19"/>
          <w:szCs w:val="19"/>
          <w:rtl w:val="0"/>
        </w:rPr>
        <w:t xml:space="preserve"> on: total FX exposure by currency (gross and net), current hedge coverage ratios vs policy targets, hedging costs incurred (premiums, forward points, spread costs), realised and unrealised gains/losses on hedges, any policy breaches or exceptions, and a forward-looking assessment of key currency risks. Reporting should be concise and focused on whether the hedging programme is achieving its stated objectives.</w:t>
      </w:r>
      <w:r w:rsidDel="00000000" w:rsidR="00000000" w:rsidRPr="00000000">
        <w:rPr>
          <w:rtl w:val="0"/>
        </w:rPr>
      </w:r>
    </w:p>
    <w:p w:rsidR="00000000" w:rsidDel="00000000" w:rsidP="00000000" w:rsidRDefault="00000000" w:rsidRPr="00000000" w14:paraId="0000007E">
      <w:pPr>
        <w:pStyle w:val="Heading2"/>
        <w:spacing w:after="60" w:before="160" w:lineRule="auto"/>
        <w:rPr/>
      </w:pPr>
      <w:r w:rsidDel="00000000" w:rsidR="00000000" w:rsidRPr="00000000">
        <w:rPr>
          <w:rFonts w:ascii="Arial" w:cs="Arial" w:eastAsia="Arial" w:hAnsi="Arial"/>
          <w:b w:val="1"/>
          <w:bCs w:val="1"/>
          <w:color w:val="009463"/>
          <w:sz w:val="21"/>
          <w:szCs w:val="21"/>
          <w:rtl w:val="0"/>
        </w:rPr>
        <w:t xml:space="preserve">6.3 Performance Review</w:t>
      </w:r>
      <w:r w:rsidDel="00000000" w:rsidR="00000000" w:rsidRPr="00000000">
        <w:rPr>
          <w:rtl w:val="0"/>
        </w:rPr>
      </w:r>
    </w:p>
    <w:p w:rsidR="00000000" w:rsidDel="00000000" w:rsidP="00000000" w:rsidRDefault="00000000" w:rsidRPr="00000000" w14:paraId="0000007F">
      <w:pPr>
        <w:spacing w:after="70" w:line="260" w:lineRule="auto"/>
        <w:rPr/>
      </w:pPr>
      <w:r w:rsidDel="00000000" w:rsidR="00000000" w:rsidRPr="00000000">
        <w:rPr>
          <w:rFonts w:ascii="Arial" w:cs="Arial" w:eastAsia="Arial" w:hAnsi="Arial"/>
          <w:color w:val="1a1a2e"/>
          <w:sz w:val="19"/>
          <w:szCs w:val="19"/>
          <w:rtl w:val="0"/>
        </w:rPr>
        <w:t xml:space="preserve">The hedging programme’s effectiveness shall be assessed at least </w:t>
      </w:r>
      <w:r w:rsidDel="00000000" w:rsidR="00000000" w:rsidRPr="00000000">
        <w:rPr>
          <w:rFonts w:ascii="Arial" w:cs="Arial" w:eastAsia="Arial" w:hAnsi="Arial"/>
          <w:color w:val="1a1a2e"/>
          <w:sz w:val="19"/>
          <w:szCs w:val="19"/>
          <w:highlight w:val="yellow"/>
          <w:rtl w:val="0"/>
        </w:rPr>
        <w:t xml:space="preserve">[semi-annually]</w:t>
      </w:r>
      <w:r w:rsidDel="00000000" w:rsidR="00000000" w:rsidRPr="00000000">
        <w:rPr>
          <w:rFonts w:ascii="Arial" w:cs="Arial" w:eastAsia="Arial" w:hAnsi="Arial"/>
          <w:color w:val="1a1a2e"/>
          <w:sz w:val="19"/>
          <w:szCs w:val="19"/>
          <w:rtl w:val="0"/>
        </w:rPr>
        <w:t xml:space="preserve"> by comparing: hedged rates achieved vs budget rates, hedged rates achieved vs unhedged spot rates over the same period, total cost of the hedging programme (premiums, opportunity cost of forward points), and whether hedge ratios and tenors remain appropriate given changes in the business or market environment. This review should inform adjustments to hedge ratios, instrument selection, or policy parameters.</w:t>
      </w:r>
      <w:r w:rsidDel="00000000" w:rsidR="00000000" w:rsidRPr="00000000">
        <w:rPr>
          <w:rtl w:val="0"/>
        </w:rPr>
      </w:r>
    </w:p>
    <w:p w:rsidR="00000000" w:rsidDel="00000000" w:rsidP="00000000" w:rsidRDefault="00000000" w:rsidRPr="00000000" w14:paraId="00000080">
      <w:pPr>
        <w:pStyle w:val="Heading2"/>
        <w:spacing w:after="60" w:before="160" w:lineRule="auto"/>
        <w:rPr/>
      </w:pPr>
      <w:r w:rsidDel="00000000" w:rsidR="00000000" w:rsidRPr="00000000">
        <w:rPr>
          <w:rFonts w:ascii="Arial" w:cs="Arial" w:eastAsia="Arial" w:hAnsi="Arial"/>
          <w:b w:val="1"/>
          <w:bCs w:val="1"/>
          <w:color w:val="009463"/>
          <w:sz w:val="21"/>
          <w:szCs w:val="21"/>
          <w:rtl w:val="0"/>
        </w:rPr>
        <w:t xml:space="preserve">6.4 Policy Review</w:t>
      </w:r>
      <w:r w:rsidDel="00000000" w:rsidR="00000000" w:rsidRPr="00000000">
        <w:rPr>
          <w:rtl w:val="0"/>
        </w:rPr>
      </w:r>
    </w:p>
    <w:p w:rsidR="00000000" w:rsidDel="00000000" w:rsidP="00000000" w:rsidRDefault="00000000" w:rsidRPr="00000000" w14:paraId="00000081">
      <w:pPr>
        <w:spacing w:after="70" w:line="260" w:lineRule="auto"/>
        <w:rPr/>
      </w:pPr>
      <w:r w:rsidDel="00000000" w:rsidR="00000000" w:rsidRPr="00000000">
        <w:rPr>
          <w:rFonts w:ascii="Arial" w:cs="Arial" w:eastAsia="Arial" w:hAnsi="Arial"/>
          <w:color w:val="1a1a2e"/>
          <w:sz w:val="19"/>
          <w:szCs w:val="19"/>
          <w:rtl w:val="0"/>
        </w:rPr>
        <w:t xml:space="preserve">This policy shall be reviewed and re-approved by the </w:t>
      </w:r>
      <w:r w:rsidDel="00000000" w:rsidR="00000000" w:rsidRPr="00000000">
        <w:rPr>
          <w:rFonts w:ascii="Arial" w:cs="Arial" w:eastAsia="Arial" w:hAnsi="Arial"/>
          <w:color w:val="1a1a2e"/>
          <w:sz w:val="19"/>
          <w:szCs w:val="19"/>
          <w:highlight w:val="yellow"/>
          <w:rtl w:val="0"/>
        </w:rPr>
        <w:t xml:space="preserve">[Board/Risk Committee]</w:t>
      </w:r>
      <w:r w:rsidDel="00000000" w:rsidR="00000000" w:rsidRPr="00000000">
        <w:rPr>
          <w:rFonts w:ascii="Arial" w:cs="Arial" w:eastAsia="Arial" w:hAnsi="Arial"/>
          <w:color w:val="1a1a2e"/>
          <w:sz w:val="19"/>
          <w:szCs w:val="19"/>
          <w:rtl w:val="0"/>
        </w:rPr>
        <w:t xml:space="preserve"> on an annual basis. Significant changes to the company’s currency exposure, business model, or hedging counterparty relationships may warrant an interim review.</w:t>
      </w:r>
      <w:r w:rsidDel="00000000" w:rsidR="00000000" w:rsidRPr="00000000">
        <w:rPr>
          <w:rtl w:val="0"/>
        </w:rPr>
      </w:r>
    </w:p>
    <w:p w:rsidR="00000000" w:rsidDel="00000000" w:rsidP="00000000" w:rsidRDefault="00000000" w:rsidRPr="00000000" w14:paraId="00000082">
      <w:pPr>
        <w:spacing w:after="80" w:lineRule="auto"/>
        <w:rPr/>
      </w:pPr>
      <w:r w:rsidDel="00000000" w:rsidR="00000000" w:rsidRPr="00000000">
        <w:rPr>
          <w:rtl w:val="0"/>
        </w:rPr>
      </w:r>
    </w:p>
    <w:p w:rsidR="00000000" w:rsidDel="00000000" w:rsidP="00000000" w:rsidRDefault="00000000" w:rsidRPr="00000000" w14:paraId="00000083">
      <w:pPr>
        <w:pBdr>
          <w:top w:color="009463" w:space="6" w:sz="4" w:val="single"/>
        </w:pBdr>
        <w:spacing w:after="50" w:before="60" w:lineRule="auto"/>
        <w:rPr/>
      </w:pPr>
      <w:r w:rsidDel="00000000" w:rsidR="00000000" w:rsidRPr="00000000">
        <w:rPr>
          <w:rtl w:val="0"/>
        </w:rPr>
      </w:r>
    </w:p>
    <w:p w:rsidR="00000000" w:rsidDel="00000000" w:rsidP="00000000" w:rsidRDefault="00000000" w:rsidRPr="00000000" w14:paraId="00000084">
      <w:pPr>
        <w:spacing w:after="70" w:line="260" w:lineRule="auto"/>
        <w:rPr/>
      </w:pPr>
      <w:r w:rsidDel="00000000" w:rsidR="00000000" w:rsidRPr="00000000">
        <w:rPr>
          <w:rFonts w:ascii="Arial" w:cs="Arial" w:eastAsia="Arial" w:hAnsi="Arial"/>
          <w:b w:val="1"/>
          <w:bCs w:val="1"/>
          <w:color w:val="009463"/>
          <w:sz w:val="17"/>
          <w:szCs w:val="17"/>
          <w:rtl w:val="0"/>
        </w:rPr>
        <w:t xml:space="preserve">Need help implementing this policy? </w:t>
      </w:r>
      <w:r w:rsidDel="00000000" w:rsidR="00000000" w:rsidRPr="00000000">
        <w:rPr>
          <w:rFonts w:ascii="Arial" w:cs="Arial" w:eastAsia="Arial" w:hAnsi="Arial"/>
          <w:color w:val="1a1a2e"/>
          <w:sz w:val="17"/>
          <w:szCs w:val="17"/>
          <w:rtl w:val="0"/>
        </w:rPr>
        <w:t xml:space="preserve">HedgeFlows provides FX risk management advisory and technology for scaleup businesses — from exposure identification and hedge execution to automated accounting and reporting.</w:t>
      </w:r>
      <w:r w:rsidDel="00000000" w:rsidR="00000000" w:rsidRPr="00000000">
        <w:rPr>
          <w:rtl w:val="0"/>
        </w:rPr>
      </w:r>
    </w:p>
    <w:p w:rsidR="00000000" w:rsidDel="00000000" w:rsidP="00000000" w:rsidRDefault="00000000" w:rsidRPr="00000000" w14:paraId="00000085">
      <w:pPr>
        <w:spacing w:after="70" w:line="260" w:lineRule="auto"/>
        <w:rPr/>
      </w:pPr>
      <w:r w:rsidDel="00000000" w:rsidR="00000000" w:rsidRPr="00000000">
        <w:rPr>
          <w:rFonts w:ascii="Arial" w:cs="Arial" w:eastAsia="Arial" w:hAnsi="Arial"/>
          <w:color w:val="009463"/>
          <w:sz w:val="17"/>
          <w:szCs w:val="17"/>
          <w:rtl w:val="0"/>
        </w:rPr>
        <w:t xml:space="preserve">alex@hedgeflows.com  |  neh@hedgeflows.com  |  www.hedgeflows.com</w:t>
      </w:r>
      <w:r w:rsidDel="00000000" w:rsidR="00000000" w:rsidRPr="00000000">
        <w:rPr>
          <w:rtl w:val="0"/>
        </w:rPr>
      </w:r>
    </w:p>
    <w:sectPr>
      <w:headerReference r:id="rId9" w:type="default"/>
      <w:footerReference r:id="rId10" w:type="default"/>
      <w:type w:val="nextPage"/>
      <w:pgSz w:h="16838" w:w="11906" w:orient="portrait"/>
      <w:pgMar w:bottom="1050" w:top="1150" w:left="1300" w:right="130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7">
    <w:pPr>
      <w:jc w:val="center"/>
      <w:rPr/>
    </w:pPr>
    <w:r w:rsidDel="00000000" w:rsidR="00000000" w:rsidRPr="00000000">
      <w:rPr>
        <w:rFonts w:ascii="Arial" w:cs="Arial" w:eastAsia="Arial" w:hAnsi="Arial"/>
        <w:color w:val="5d6d7e"/>
        <w:sz w:val="15"/>
        <w:szCs w:val="15"/>
        <w:rtl w:val="0"/>
      </w:rPr>
      <w:t xml:space="preserve">Page </w:t>
    </w:r>
    <w:r w:rsidDel="00000000" w:rsidR="00000000" w:rsidRPr="00000000">
      <w:rPr>
        <w:rFonts w:ascii="Arial" w:cs="Arial" w:eastAsia="Arial" w:hAnsi="Arial"/>
        <w:color w:val="5d6d7e"/>
        <w:sz w:val="15"/>
        <w:szCs w:val="15"/>
      </w:rPr>
      <w:fldChar w:fldCharType="begin"/>
      <w:instrText xml:space="preserve">PAGE</w:instrText>
      <w:fldChar w:fldCharType="separate"/>
      <w:fldChar w:fldCharType="end"/>
    </w:r>
    <w:r w:rsidDel="00000000" w:rsidR="00000000" w:rsidRPr="00000000">
      <w:rPr>
        <w:rFonts w:ascii="Arial" w:cs="Arial" w:eastAsia="Arial" w:hAnsi="Arial"/>
        <w:color w:val="5d6d7e"/>
        <w:sz w:val="15"/>
        <w:szCs w:val="15"/>
        <w:rtl w:val="0"/>
      </w:rPr>
      <w:t xml:space="preserve">  |  Confidential</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pBdr>
        <w:top w:color="009464" w:space="2" w:sz="4" w:val="single"/>
      </w:pBdr>
      <w:tabs>
        <w:tab w:val="center" w:leader="none" w:pos="4513"/>
        <w:tab w:val="right" w:leader="none" w:pos="9026"/>
      </w:tabs>
      <w:spacing w:before="360" w:lineRule="auto"/>
      <w:jc w:val="both"/>
      <w:rPr/>
    </w:pPr>
    <w:r w:rsidDel="00000000" w:rsidR="00000000" w:rsidRPr="00000000">
      <w:rPr>
        <w:rFonts w:ascii="Calibri" w:cs="Calibri" w:eastAsia="Calibri" w:hAnsi="Calibri"/>
        <w:i w:val="1"/>
        <w:iCs w:val="1"/>
        <w:color w:val="404040"/>
        <w:sz w:val="18"/>
        <w:szCs w:val="18"/>
        <w:rtl w:val="0"/>
      </w:rPr>
      <w:t xml:space="preserve">HedgeFlows Ltd, 4th Floor Tuition House 27-37 St George's Road, Wimbledon, London, England, SW19 4EU. Company registration number 12689184. Authorised by the FCA under FRN 1008699 under PSR 2017</w:t>
    </w:r>
    <w:r w:rsidDel="00000000" w:rsidR="00000000" w:rsidRPr="00000000">
      <w:rPr>
        <w:rFonts w:ascii="Calibri" w:cs="Calibri" w:eastAsia="Calibri" w:hAnsi="Calibri"/>
        <w:color w:val="404040"/>
        <w:sz w:val="18"/>
        <w:szCs w:val="18"/>
        <w:rtl w:val="0"/>
      </w:rPr>
      <w:tab/>
    </w:r>
    <w:r w:rsidDel="00000000" w:rsidR="00000000" w:rsidRPr="00000000">
      <w:rPr>
        <w:rFonts w:ascii="Calibri" w:cs="Calibri" w:eastAsia="Calibri" w:hAnsi="Calibri"/>
        <w:color w:val="404040"/>
        <w:sz w:val="22"/>
        <w:szCs w:val="22"/>
        <w:rtl w:val="0"/>
      </w:rPr>
      <w:tab/>
      <w:tab/>
      <w:tab/>
      <w:tab/>
    </w:r>
    <w:r w:rsidDel="00000000" w:rsidR="00000000" w:rsidRPr="00000000">
      <w:rPr>
        <w:rFonts w:ascii="Calibri" w:cs="Calibri" w:eastAsia="Calibri" w:hAnsi="Calibri"/>
        <w:color w:val="404040"/>
        <w:sz w:val="18"/>
        <w:szCs w:val="18"/>
        <w:rtl w:val="0"/>
      </w:rPr>
      <w:t xml:space="preserve">Page </w:t>
    </w:r>
    <w:r w:rsidDel="00000000" w:rsidR="00000000" w:rsidRPr="00000000">
      <w:rPr>
        <w:rFonts w:ascii="Calibri" w:cs="Calibri" w:eastAsia="Calibri" w:hAnsi="Calibri"/>
        <w:color w:val="404040"/>
        <w:sz w:val="18"/>
        <w:szCs w:val="18"/>
      </w:rPr>
      <w:fldChar w:fldCharType="begin"/>
      <w:instrText xml:space="preserve">PAGE</w:instrText>
      <w:fldChar w:fldCharType="separate"/>
      <w:fldChar w:fldCharType="end"/>
    </w:r>
    <w:r w:rsidDel="00000000" w:rsidR="00000000" w:rsidRPr="00000000">
      <w:rPr>
        <w:rFonts w:ascii="Calibri" w:cs="Calibri" w:eastAsia="Calibri" w:hAnsi="Calibri"/>
        <w:color w:val="404040"/>
        <w:sz w:val="18"/>
        <w:szCs w:val="18"/>
        <w:rtl w:val="0"/>
      </w:rPr>
      <w:t xml:space="preserve"> of </w:t>
    </w:r>
    <w:r w:rsidDel="00000000" w:rsidR="00000000" w:rsidRPr="00000000">
      <w:rPr>
        <w:rFonts w:ascii="Calibri" w:cs="Calibri" w:eastAsia="Calibri" w:hAnsi="Calibri"/>
        <w:color w:val="404040"/>
        <w:sz w:val="18"/>
        <w:szCs w:val="18"/>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6">
    <w:pPr>
      <w:jc w:val="right"/>
      <w:rPr/>
    </w:pPr>
    <w:r w:rsidDel="00000000" w:rsidR="00000000" w:rsidRPr="00000000">
      <w:rPr>
        <w:rFonts w:ascii="Arial" w:cs="Arial" w:eastAsia="Arial" w:hAnsi="Arial"/>
        <w:i w:val="1"/>
        <w:iCs w:val="1"/>
        <w:color w:val="5d6d7e"/>
        <w:sz w:val="15"/>
        <w:szCs w:val="15"/>
        <w:rtl w:val="0"/>
      </w:rPr>
      <w:t xml:space="preserve">FX Risk Management Policy  |  [Company Name]</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8">
    <w:pPr>
      <w:spacing w:after="200" w:line="259" w:lineRule="auto"/>
      <w:jc w:val="center"/>
      <w:rPr/>
    </w:pPr>
    <w:r w:rsidDel="00000000" w:rsidR="00000000" w:rsidRPr="00000000">
      <w:rPr>
        <w:rFonts w:ascii="Times New Roman" w:cs="Times New Roman" w:eastAsia="Times New Roman" w:hAnsi="Times New Roman"/>
        <w:b w:val="1"/>
        <w:bCs w:val="1"/>
        <w:sz w:val="32"/>
        <w:szCs w:val="32"/>
      </w:rPr>
      <w:drawing>
        <wp:inline distB="114300" distT="114300" distL="114300" distR="114300">
          <wp:extent cx="1652588" cy="415957"/>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52588" cy="415957"/>
                  </a:xfrm>
                  <a:prstGeom prst="rect"/>
                  <a:ln/>
                </pic:spPr>
              </pic:pic>
            </a:graphicData>
          </a:graphic>
        </wp:inline>
      </w:drawing>
    </w: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500" w:hanging="25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500" w:hanging="25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bullet"/>
      <w:lvlText w:val="•"/>
      <w:lvlJc w:val="left"/>
      <w:pPr>
        <w:ind w:left="500" w:hanging="25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19"/>
        <w:szCs w:val="19"/>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1"/>
      <w:bCs w:val="1"/>
      <w:i w:val="0"/>
      <w:iCs w:val="0"/>
      <w:smallCaps w:val="0"/>
      <w:strike w:val="0"/>
      <w:color w:val="009463"/>
      <w:sz w:val="25"/>
      <w:szCs w:val="25"/>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60" w:line="240" w:lineRule="auto"/>
      <w:ind w:left="0" w:right="0" w:firstLine="0"/>
      <w:jc w:val="left"/>
    </w:pPr>
    <w:rPr>
      <w:rFonts w:ascii="Arial" w:cs="Arial" w:eastAsia="Arial" w:hAnsi="Arial"/>
      <w:b w:val="1"/>
      <w:bCs w:val="1"/>
      <w:i w:val="0"/>
      <w:iCs w:val="0"/>
      <w:smallCaps w:val="0"/>
      <w:strike w:val="0"/>
      <w:color w:val="009463"/>
      <w:sz w:val="21"/>
      <w:szCs w:val="21"/>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19"/>
      <w:szCs w:val="19"/>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19"/>
      <w:szCs w:val="19"/>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19"/>
      <w:szCs w:val="19"/>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000000"/>
      <w:sz w:val="56"/>
      <w:szCs w:val="56"/>
      <w:u w:val="none"/>
      <w:shd w:fill="auto" w:val="clear"/>
      <w:vertAlign w:val="baseline"/>
    </w:rPr>
  </w:style>
  <w:style w:type="paragraph" w:styleId="Strong">
    <w:name w:val="Strong"/>
    <w:basedOn w:val="Normal"/>
    <w:next w:val="Normal"/>
    <w:qFormat w:val="1"/>
    <w:rPr>
      <w:b w:val="1"/>
      <w:bCs w:val="1"/>
    </w:rPr>
  </w:style>
  <w:style w:type="paragraph" w:styleId="ListParagraph">
    <w:name w:val="List Paragraph"/>
    <w:basedOn w:val="Normal"/>
    <w:qFormat w:val="1"/>
  </w:style>
  <w:style w:type="character" w:styleId="Hyperlink">
    <w:name w:val="Hyperlink"/>
    <w:basedOn w:val="DefaultParagraphFont"/>
    <w:uiPriority w:val="99"/>
    <w:unhideWhenUsed w:val="1"/>
    <w:rPr>
      <w:color w:val="0563c1"/>
      <w:u w:val="single"/>
    </w:rPr>
  </w:style>
  <w:style w:type="character" w:styleId="FootnoteReference">
    <w:name w:val="footnote reference"/>
    <w:basedOn w:val="DefaultParagraphFont"/>
    <w:uiPriority w:val="99"/>
    <w:semiHidden w:val="1"/>
    <w:unhideWhenUsed w:val="1"/>
    <w:rPr>
      <w:vertAlign w:val="superscript"/>
    </w:rPr>
  </w:style>
  <w:style w:type="paragraph" w:styleId="FootnoteText">
    <w:name w:val="footnote text"/>
    <w:basedOn w:val="Normal"/>
    <w:link w:val="FootnoteTextChar"/>
    <w:uiPriority w:val="99"/>
    <w:semiHidden w:val="1"/>
    <w:unhideWhenUsed w:val="1"/>
    <w:pPr>
      <w:spacing w:after="0" w:line="240" w:lineRule="auto"/>
    </w:pPr>
    <w:rPr>
      <w:sz w:val="20"/>
      <w:szCs w:val="20"/>
    </w:rPr>
  </w:style>
  <w:style w:type="character" w:styleId="FootnoteTextChar">
    <w:name w:val="Footnote Text Char"/>
    <w:basedOn w:val="DefaultParagraphFont"/>
    <w:link w:val="FootnoteText"/>
    <w:uiPriority w:val="99"/>
    <w:semiHidden w:val="1"/>
    <w:unhideWhenUsed w:val="1"/>
    <w:rPr>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ScqDL/nZf9qu3edJD3qB73st/w==">CgMxLjA4AHIhMVkxV2VsUU9fanZGRTFndzY2WkxkQzgxUTI5a3hTT3hy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2026-02-10T06:52:14.550Z</dcterms:created>
  <dc:creator>Un-named</dc:creator>
</cp:coreProperties>
</file>

<file path=docProps/custom.xml><?xml version="1.0" encoding="utf-8"?>
<Properties xmlns="http://schemas.openxmlformats.org/officeDocument/2006/custom-properties" xmlns:vt="http://schemas.openxmlformats.org/officeDocument/2006/docPropsVTypes"/>
</file>